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D877" w14:textId="77777777" w:rsidR="0090744B" w:rsidRDefault="0090744B" w:rsidP="00AA622C">
      <w:pPr>
        <w:jc w:val="center"/>
        <w:rPr>
          <w:sz w:val="36"/>
          <w:szCs w:val="30"/>
        </w:rPr>
      </w:pPr>
    </w:p>
    <w:p w14:paraId="24FF4FDC" w14:textId="77777777" w:rsidR="0090744B" w:rsidRDefault="0090744B" w:rsidP="00AA622C">
      <w:pPr>
        <w:jc w:val="center"/>
        <w:rPr>
          <w:sz w:val="36"/>
          <w:szCs w:val="30"/>
        </w:rPr>
      </w:pPr>
    </w:p>
    <w:p w14:paraId="3FE27DF0" w14:textId="77777777" w:rsidR="0090744B" w:rsidRDefault="0090744B" w:rsidP="00AA622C">
      <w:pPr>
        <w:jc w:val="center"/>
        <w:rPr>
          <w:sz w:val="36"/>
          <w:szCs w:val="30"/>
        </w:rPr>
      </w:pPr>
    </w:p>
    <w:p w14:paraId="5D76EA01" w14:textId="77777777" w:rsidR="0090744B" w:rsidRDefault="0090744B" w:rsidP="00AA622C">
      <w:pPr>
        <w:jc w:val="center"/>
        <w:rPr>
          <w:sz w:val="36"/>
          <w:szCs w:val="30"/>
        </w:rPr>
      </w:pPr>
    </w:p>
    <w:p w14:paraId="24B5DF79" w14:textId="77777777" w:rsidR="0090744B" w:rsidRDefault="0090744B" w:rsidP="00AA622C">
      <w:pPr>
        <w:jc w:val="center"/>
        <w:rPr>
          <w:sz w:val="36"/>
          <w:szCs w:val="30"/>
        </w:rPr>
      </w:pPr>
    </w:p>
    <w:p w14:paraId="03AB5D00" w14:textId="77777777" w:rsidR="0090744B" w:rsidRDefault="0090744B" w:rsidP="00AA622C">
      <w:pPr>
        <w:jc w:val="center"/>
        <w:rPr>
          <w:sz w:val="36"/>
          <w:szCs w:val="30"/>
        </w:rPr>
      </w:pPr>
    </w:p>
    <w:p w14:paraId="1602EFA6" w14:textId="601B6A57" w:rsidR="00582724" w:rsidRPr="00AA622C" w:rsidRDefault="0051328D" w:rsidP="00AA622C">
      <w:pPr>
        <w:jc w:val="center"/>
        <w:rPr>
          <w:sz w:val="36"/>
          <w:szCs w:val="30"/>
        </w:rPr>
      </w:pPr>
      <w:r w:rsidRPr="00AA622C">
        <w:rPr>
          <w:sz w:val="36"/>
          <w:szCs w:val="30"/>
        </w:rPr>
        <w:t>Physical Inactivity and Obesity Prevalence Across U.S. States: A Longitudinal Mixed-Effects Analysis</w:t>
      </w:r>
    </w:p>
    <w:p w14:paraId="501D05D5" w14:textId="290E4EAD" w:rsidR="0051328D" w:rsidRPr="00AA622C" w:rsidRDefault="0051328D" w:rsidP="00AA622C">
      <w:pPr>
        <w:jc w:val="center"/>
        <w:rPr>
          <w:sz w:val="36"/>
          <w:szCs w:val="30"/>
        </w:rPr>
      </w:pPr>
      <w:r w:rsidRPr="00AA622C">
        <w:rPr>
          <w:sz w:val="36"/>
          <w:szCs w:val="30"/>
        </w:rPr>
        <w:t xml:space="preserve">GPH-GU 2480/3480 </w:t>
      </w:r>
      <w:r w:rsidR="00AA622C" w:rsidRPr="00AA622C">
        <w:rPr>
          <w:sz w:val="36"/>
          <w:szCs w:val="30"/>
        </w:rPr>
        <w:t>–</w:t>
      </w:r>
      <w:r w:rsidRPr="00AA622C">
        <w:rPr>
          <w:sz w:val="36"/>
          <w:szCs w:val="30"/>
        </w:rPr>
        <w:t xml:space="preserve"> Longitudinal Analysis of Public Health Data</w:t>
      </w:r>
    </w:p>
    <w:p w14:paraId="14E2A3CA" w14:textId="3327FF2F" w:rsidR="0051328D" w:rsidRPr="00AA622C" w:rsidRDefault="0051328D" w:rsidP="00AA622C">
      <w:pPr>
        <w:jc w:val="center"/>
        <w:rPr>
          <w:sz w:val="36"/>
          <w:szCs w:val="30"/>
        </w:rPr>
      </w:pPr>
      <w:r w:rsidRPr="00AA622C">
        <w:rPr>
          <w:sz w:val="36"/>
          <w:szCs w:val="30"/>
        </w:rPr>
        <w:t xml:space="preserve">Sarvar Khamidov </w:t>
      </w:r>
      <w:r w:rsidR="00AA622C" w:rsidRPr="00AA622C">
        <w:rPr>
          <w:sz w:val="36"/>
          <w:szCs w:val="30"/>
        </w:rPr>
        <w:t>–</w:t>
      </w:r>
      <w:r w:rsidRPr="00AA622C">
        <w:rPr>
          <w:sz w:val="36"/>
          <w:szCs w:val="30"/>
        </w:rPr>
        <w:t xml:space="preserve"> NYU, Spring 2026</w:t>
      </w:r>
    </w:p>
    <w:p w14:paraId="188C1766" w14:textId="77777777" w:rsidR="0051328D" w:rsidRDefault="0051328D"/>
    <w:p w14:paraId="7AE2E916" w14:textId="6E14FB62" w:rsidR="0051328D" w:rsidRDefault="0051328D">
      <w:r>
        <w:br w:type="page"/>
      </w:r>
    </w:p>
    <w:p w14:paraId="35FCCB53" w14:textId="5DC8F2FE" w:rsidR="0051328D" w:rsidRPr="001430F4" w:rsidRDefault="0051328D">
      <w:pPr>
        <w:rPr>
          <w:sz w:val="32"/>
          <w:szCs w:val="28"/>
        </w:rPr>
      </w:pPr>
      <w:r w:rsidRPr="001430F4">
        <w:rPr>
          <w:sz w:val="32"/>
          <w:szCs w:val="28"/>
        </w:rPr>
        <w:lastRenderedPageBreak/>
        <w:t>Introduction</w:t>
      </w:r>
    </w:p>
    <w:p w14:paraId="5CFBB5CE" w14:textId="77777777" w:rsidR="0051328D" w:rsidRDefault="0051328D"/>
    <w:p w14:paraId="58DA370F" w14:textId="534CA283" w:rsidR="0051328D" w:rsidRDefault="0051328D" w:rsidP="0051328D">
      <w:r>
        <w:t>Obesity is one of the most consequential public health challenges in the United States, contributing to elevated risk of type 2 diabetes, cardiovascular disease, certain cancers, and premature mortality. National surveillance data consistently show that adult obesity prevalence has risen over recent decades, yet the magnitude and pace of this increase vary substantially across states. Understanding the drivers of this variation and its trajectory over time is essential for targeting public health interventions.</w:t>
      </w:r>
    </w:p>
    <w:p w14:paraId="467F11E4" w14:textId="77777777" w:rsidR="0051328D" w:rsidRDefault="0051328D" w:rsidP="0051328D"/>
    <w:p w14:paraId="13DE30B2" w14:textId="3E034C83" w:rsidR="0051328D" w:rsidRDefault="0051328D" w:rsidP="0051328D">
      <w:r>
        <w:t>Physical inactivity is a well-established modifiable risk factor for obesity. Adults who report no leisure-time physical activity are at greater risk of weight gain and obesity-related comorbidities. However, most prior studies examine this relationship cross-sectionally or at the individual level. Less attention has been paid to whether state-level inactivity rates predict state-level obesity trends longitudinally a question relevant to population-level policy.</w:t>
      </w:r>
    </w:p>
    <w:p w14:paraId="4DFEE079" w14:textId="77777777" w:rsidR="0051328D" w:rsidRDefault="0051328D" w:rsidP="0051328D"/>
    <w:p w14:paraId="18AA97F7" w14:textId="45F66A8F" w:rsidR="0051328D" w:rsidRDefault="0051328D" w:rsidP="0051328D">
      <w:r>
        <w:t>This study uses state-level repeated measurements from the CDC Behavioral Risk Factor Surveillance System (BRFSS) spanning 2011–2024 to examine: (1) how obesity prevalence has changed over time across U.S. states, (2) whether state-level physical inactivity is associated with obesity prevalence after accounting for time trends, and (3) how much of the variation in obesity is attributable to stable between-state differences versus within-state change over time.</w:t>
      </w:r>
    </w:p>
    <w:p w14:paraId="33817DA4" w14:textId="77777777" w:rsidR="0051328D" w:rsidRDefault="0051328D" w:rsidP="0051328D"/>
    <w:p w14:paraId="4F6ADFFD" w14:textId="71765399" w:rsidR="0051328D" w:rsidRPr="001430F4" w:rsidRDefault="0051328D" w:rsidP="0051328D">
      <w:pPr>
        <w:rPr>
          <w:sz w:val="32"/>
          <w:szCs w:val="28"/>
        </w:rPr>
      </w:pPr>
      <w:r w:rsidRPr="001430F4">
        <w:rPr>
          <w:sz w:val="32"/>
          <w:szCs w:val="28"/>
        </w:rPr>
        <w:t>Data</w:t>
      </w:r>
    </w:p>
    <w:p w14:paraId="4819F1EC" w14:textId="77777777" w:rsidR="0051328D" w:rsidRDefault="0051328D" w:rsidP="0051328D"/>
    <w:p w14:paraId="35D9F00D" w14:textId="73E13984" w:rsidR="0051328D" w:rsidRDefault="0051328D" w:rsidP="0051328D">
      <w:r>
        <w:t>Source</w:t>
      </w:r>
    </w:p>
    <w:p w14:paraId="1C5CE74D" w14:textId="59A6B63C" w:rsidR="0051328D" w:rsidRDefault="0051328D" w:rsidP="0051328D">
      <w:r w:rsidRPr="0051328D">
        <w:t>Data were obtained from the CDC's Nutrition, Physical Activity, and Obesity dataset, drawn from the Behavioral Risk Factor Surveillance System (BRFSS). BRFSS is an annual telephone survey conducted in all 50 states and the District of Columbia, collecting self-reported health behavior data from non-institutionalized adults aged 18 and older. The dataset was accessed via the CDC's public data hub (data.cdc.gov).</w:t>
      </w:r>
    </w:p>
    <w:p w14:paraId="71752911" w14:textId="77777777" w:rsidR="0051328D" w:rsidRDefault="0051328D" w:rsidP="0051328D"/>
    <w:p w14:paraId="1163C498" w14:textId="7D514B5C" w:rsidR="0051328D" w:rsidRDefault="0051328D" w:rsidP="0051328D">
      <w:r>
        <w:t xml:space="preserve">Sample </w:t>
      </w:r>
    </w:p>
    <w:p w14:paraId="67980155" w14:textId="0BDCC584" w:rsidR="0051328D" w:rsidRDefault="0051328D" w:rsidP="0051328D">
      <w:r w:rsidRPr="0051328D">
        <w:t>The analytic sample consists of state-year observations for all 50 U.S. states plus the District of Columbia (n = 51 units) across 14 survey years (2011–2024). The maximum possible number of state-year records is 714 (51 × 14); the final analytic dataset contains 709 complete observations after excluding 5 state-year records in which one or both indicators were not reported (affecting four survey years: 2019, 2021, 2023, and 2024).</w:t>
      </w:r>
    </w:p>
    <w:p w14:paraId="4B0E3DB3" w14:textId="77777777" w:rsidR="0051328D" w:rsidRDefault="0051328D" w:rsidP="0051328D"/>
    <w:p w14:paraId="2EF8C180" w14:textId="4CB6833F" w:rsidR="0051328D" w:rsidRDefault="004F037F" w:rsidP="0051328D">
      <w:r w:rsidRPr="004F037F">
        <w:t>Three variables were used. Obesity prevalence (`</w:t>
      </w:r>
      <w:proofErr w:type="spellStart"/>
      <w:r w:rsidRPr="004F037F">
        <w:t>obesity_prev</w:t>
      </w:r>
      <w:proofErr w:type="spellEnd"/>
      <w:r w:rsidRPr="004F037F">
        <w:t>`), the outcome variable, is the percentage of adults with obesity (BMI ≥ 30), derived from "Percent of adults aged 18 years and older who have obesity." Physical inactivity (`</w:t>
      </w:r>
      <w:proofErr w:type="spellStart"/>
      <w:r w:rsidRPr="004F037F">
        <w:t>inactive_prev</w:t>
      </w:r>
      <w:proofErr w:type="spellEnd"/>
      <w:r w:rsidRPr="004F037F">
        <w:t>`), the primary time-varying predictor, is the percentage of adults reporting no leisure-time physical activity, derived from "Percent of adults who engage in no leisure-time physical activity." Poverty rate (`</w:t>
      </w:r>
      <w:proofErr w:type="spellStart"/>
      <w:r w:rsidRPr="004F037F">
        <w:t>poverty_rate</w:t>
      </w:r>
      <w:proofErr w:type="spellEnd"/>
      <w:r w:rsidRPr="004F037F">
        <w:t>`) is the percentage of the state population with income below the federal poverty level, obtained from the U.S. Census Bureau's American Community Survey (ACS) 1-year estimates via the `</w:t>
      </w:r>
      <w:proofErr w:type="spellStart"/>
      <w:r w:rsidRPr="004F037F">
        <w:t>tidycensus</w:t>
      </w:r>
      <w:proofErr w:type="spellEnd"/>
      <w:r w:rsidRPr="004F037F">
        <w:t xml:space="preserve">` R package (variable `B17001`); it serves as a time-varying covariate to account for socioeconomic disadvantage, a known correlate of both physical inactivity and obesity at the </w:t>
      </w:r>
      <w:r w:rsidRPr="004F037F">
        <w:lastRenderedPageBreak/>
        <w:t>population level. Because ACS 1-year estimates for 2020 were not released due to COVID-19 data collection disruptions, 2020 poverty rates were interpolated as the mean of each state's 2019 and 2021 values.</w:t>
      </w:r>
    </w:p>
    <w:p w14:paraId="7B8E8838" w14:textId="77777777" w:rsidR="004F037F" w:rsidRDefault="004F037F" w:rsidP="0051328D"/>
    <w:p w14:paraId="3BF8E074" w14:textId="04092736" w:rsidR="0051328D" w:rsidRDefault="0051328D" w:rsidP="0051328D">
      <w:r w:rsidRPr="0051328D">
        <w:t>BRFSS</w:t>
      </w:r>
      <w:r w:rsidRPr="0051328D">
        <w:t xml:space="preserve"> indicators reflect overall (non-stratified) state-level estimates. Territorial observations (Guam, Puerto Rico, Virgin Islands, American Samoa, Northern Mariana Islands) were excluded to maintain a consistent 50-state + DC panel. Crude statewide prevalence estimates were retained for both indicators.</w:t>
      </w:r>
    </w:p>
    <w:p w14:paraId="0DD1C75C" w14:textId="77777777" w:rsidR="0051328D" w:rsidRDefault="0051328D" w:rsidP="0051328D"/>
    <w:p w14:paraId="42882233" w14:textId="77777777" w:rsidR="0051328D" w:rsidRPr="001430F4" w:rsidRDefault="0051328D" w:rsidP="0051328D">
      <w:pPr>
        <w:rPr>
          <w:sz w:val="32"/>
          <w:szCs w:val="28"/>
        </w:rPr>
      </w:pPr>
      <w:r w:rsidRPr="001430F4">
        <w:rPr>
          <w:sz w:val="32"/>
          <w:szCs w:val="28"/>
        </w:rPr>
        <w:t>Descriptive Statistics</w:t>
      </w:r>
    </w:p>
    <w:p w14:paraId="7B94CABA" w14:textId="77777777" w:rsidR="0051328D" w:rsidRDefault="0051328D" w:rsidP="0051328D"/>
    <w:p w14:paraId="15944BB2" w14:textId="1632375C" w:rsidR="0051328D" w:rsidRDefault="0051328D" w:rsidP="0051328D">
      <w:r>
        <w:t>Over the full analytic period, mean state obesity prevalence was 30.9% (SD = 4.3%; range: 20.2–41.4%), mean physical inactivity was 24.3% (SD = 4.2%), and mean state poverty rate was 13.4% (SD = 3.1%; range: 7.2–24.2%). National mean obesity rose steadily from 27.6% in 2011 to 33.8% in 2024, an increase of 6.2 percentage points over 13 years. Physical inactivity showed no clear secular trend over the same period, fluctuating between approximately 22% and 27%.</w:t>
      </w:r>
    </w:p>
    <w:p w14:paraId="6E57E088" w14:textId="77777777" w:rsidR="0051328D" w:rsidRDefault="0051328D" w:rsidP="0051328D"/>
    <w:p w14:paraId="0C4E7F01" w14:textId="3E47C9D7" w:rsidR="0051328D" w:rsidRPr="001430F4" w:rsidRDefault="0051328D" w:rsidP="0051328D">
      <w:pPr>
        <w:rPr>
          <w:sz w:val="32"/>
          <w:szCs w:val="28"/>
        </w:rPr>
      </w:pPr>
      <w:r w:rsidRPr="001430F4">
        <w:rPr>
          <w:sz w:val="32"/>
          <w:szCs w:val="28"/>
        </w:rPr>
        <w:t>Methods</w:t>
      </w:r>
    </w:p>
    <w:p w14:paraId="3A6AEF5A" w14:textId="77777777" w:rsidR="0051328D" w:rsidRDefault="0051328D" w:rsidP="0051328D"/>
    <w:p w14:paraId="336D2D0F" w14:textId="0411E9ED" w:rsidR="0051328D" w:rsidRDefault="0051328D" w:rsidP="0051328D">
      <w:r>
        <w:t>Analytic Approach</w:t>
      </w:r>
    </w:p>
    <w:p w14:paraId="7E66585C" w14:textId="77777777" w:rsidR="0051328D" w:rsidRDefault="0051328D" w:rsidP="0051328D"/>
    <w:p w14:paraId="3758BF4D" w14:textId="57692AE3" w:rsidR="0051328D" w:rsidRDefault="0051328D" w:rsidP="0051328D">
      <w:r>
        <w:t>The data have a two-level longitudinal structure: annual observations (level 1) nested within states (level 2). Standard regression would underestimate standard errors by ignoring the non-independence of observations within states. We therefore fit a series of linear mixed-effects models (LME) via the `lme4` package in R, with Satterthwaite degrees of freedom approximation for inference (`</w:t>
      </w:r>
      <w:proofErr w:type="spellStart"/>
      <w:r>
        <w:t>lmerTest</w:t>
      </w:r>
      <w:proofErr w:type="spellEnd"/>
      <w:r>
        <w:t>`). All models were estimated using full maximum likelihood to enable likelihood ratio tests (LRT) for nested model comparison.</w:t>
      </w:r>
    </w:p>
    <w:p w14:paraId="62AFCCCE" w14:textId="77777777" w:rsidR="0051328D" w:rsidRDefault="0051328D" w:rsidP="0051328D"/>
    <w:p w14:paraId="0A3DBB22" w14:textId="0D50E0E4" w:rsidR="0051328D" w:rsidRDefault="0051328D" w:rsidP="0051328D">
      <w:r>
        <w:t xml:space="preserve">All models treat state as the </w:t>
      </w:r>
      <w:proofErr w:type="gramStart"/>
      <w:r>
        <w:t>level-2</w:t>
      </w:r>
      <w:proofErr w:type="gramEnd"/>
      <w:r>
        <w:t xml:space="preserve"> clustering unit with a random intercept at minimum. Time is represented by `</w:t>
      </w:r>
      <w:proofErr w:type="spellStart"/>
      <w:r>
        <w:t>year_c</w:t>
      </w:r>
      <w:proofErr w:type="spellEnd"/>
      <w:r>
        <w:t>`, centered at 2011 (the first observed year), so the intercept reflects predicted obesity prevalence at baseline.</w:t>
      </w:r>
    </w:p>
    <w:p w14:paraId="3C37ADE2" w14:textId="77777777" w:rsidR="0051328D" w:rsidRDefault="0051328D" w:rsidP="0051328D"/>
    <w:p w14:paraId="5B47CC11" w14:textId="77777777" w:rsidR="0051328D" w:rsidRDefault="0051328D" w:rsidP="0051328D"/>
    <w:p w14:paraId="6C6C8370" w14:textId="7415D178" w:rsidR="0051328D" w:rsidRDefault="0051328D" w:rsidP="0051328D">
      <w:r>
        <w:t>Model Sequence</w:t>
      </w:r>
    </w:p>
    <w:p w14:paraId="19FB42AC" w14:textId="77777777" w:rsidR="0051328D" w:rsidRDefault="0051328D" w:rsidP="0051328D"/>
    <w:p w14:paraId="12073D8F" w14:textId="77777777" w:rsidR="004F037F" w:rsidRDefault="004F037F" w:rsidP="004F037F">
      <w:r>
        <w:t>Four models were fit in sequence to build understanding incrementally. The first, M0, is a null model with a random intercept and no predictors, used to partition variance and compute the intraclass correlation coefficient (ICC). M1 adds `</w:t>
      </w:r>
      <w:proofErr w:type="spellStart"/>
      <w:r>
        <w:t>year_c</w:t>
      </w:r>
      <w:proofErr w:type="spellEnd"/>
      <w:r>
        <w:t>` as a fixed effect to capture the secular increase in obesity prevalence over time. M2 extends M1 by adding both `</w:t>
      </w:r>
      <w:proofErr w:type="spellStart"/>
      <w:r>
        <w:t>inactive_prev</w:t>
      </w:r>
      <w:proofErr w:type="spellEnd"/>
      <w:r>
        <w:t>` and `</w:t>
      </w:r>
      <w:proofErr w:type="spellStart"/>
      <w:r>
        <w:t>poverty_rate</w:t>
      </w:r>
      <w:proofErr w:type="spellEnd"/>
      <w:r>
        <w:t>` as time-varying fixed effects; including both predictors simultaneously isolates the independent contribution of each. Finally, M3 allows the time slope to vary by state, capturing heterogeneity in how quickly obesity is rising across states. M3 is the best-fitting and primary inferential model.</w:t>
      </w:r>
    </w:p>
    <w:p w14:paraId="3AD140E9" w14:textId="77777777" w:rsidR="004F037F" w:rsidRDefault="004F037F" w:rsidP="004F037F"/>
    <w:p w14:paraId="08B3F9B3" w14:textId="77777777" w:rsidR="004F037F" w:rsidRDefault="004F037F" w:rsidP="004F037F">
      <w:r>
        <w:t>The full model (M3) can be written as:</w:t>
      </w:r>
    </w:p>
    <w:p w14:paraId="7B7EED57" w14:textId="77777777" w:rsidR="004F037F" w:rsidRDefault="004F037F" w:rsidP="004F037F"/>
    <w:p w14:paraId="2559B741" w14:textId="724B366D" w:rsidR="0051328D" w:rsidRDefault="004F037F" w:rsidP="004F037F">
      <w:proofErr w:type="spellStart"/>
      <w:r>
        <w:lastRenderedPageBreak/>
        <w:t>Y_ij</w:t>
      </w:r>
      <w:proofErr w:type="spellEnd"/>
      <w:r>
        <w:t xml:space="preserve"> = β₀ + β₁(</w:t>
      </w:r>
      <w:proofErr w:type="spellStart"/>
      <w:r>
        <w:t>year_c_ij</w:t>
      </w:r>
      <w:proofErr w:type="spellEnd"/>
      <w:r>
        <w:t>) + β₂(</w:t>
      </w:r>
      <w:proofErr w:type="spellStart"/>
      <w:r>
        <w:t>inactive_prev_ij</w:t>
      </w:r>
      <w:proofErr w:type="spellEnd"/>
      <w:r>
        <w:t>) + β₃(</w:t>
      </w:r>
      <w:proofErr w:type="spellStart"/>
      <w:r>
        <w:t>poverty_rate_ij</w:t>
      </w:r>
      <w:proofErr w:type="spellEnd"/>
      <w:r>
        <w:t xml:space="preserve">) + </w:t>
      </w:r>
      <w:proofErr w:type="spellStart"/>
      <w:r>
        <w:t>u₀j</w:t>
      </w:r>
      <w:proofErr w:type="spellEnd"/>
      <w:r>
        <w:t xml:space="preserve"> + </w:t>
      </w:r>
      <w:proofErr w:type="spellStart"/>
      <w:r>
        <w:t>u₁j</w:t>
      </w:r>
      <w:proofErr w:type="spellEnd"/>
      <w:r>
        <w:t>(</w:t>
      </w:r>
      <w:proofErr w:type="spellStart"/>
      <w:r>
        <w:t>year_c_ij</w:t>
      </w:r>
      <w:proofErr w:type="spellEnd"/>
      <w:r>
        <w:t xml:space="preserve">) + </w:t>
      </w:r>
      <w:proofErr w:type="spellStart"/>
      <w:r>
        <w:t>ε_ij</w:t>
      </w:r>
      <w:proofErr w:type="spellEnd"/>
    </w:p>
    <w:p w14:paraId="65223272" w14:textId="77777777" w:rsidR="0051328D" w:rsidRDefault="0051328D" w:rsidP="0051328D"/>
    <w:p w14:paraId="6BF61F8B" w14:textId="63546B01" w:rsidR="0051328D" w:rsidRDefault="0051328D" w:rsidP="0051328D">
      <w:r>
        <w:t xml:space="preserve">where </w:t>
      </w:r>
      <w:proofErr w:type="spellStart"/>
      <w:r>
        <w:t>Y_ij</w:t>
      </w:r>
      <w:proofErr w:type="spellEnd"/>
      <w:r>
        <w:t xml:space="preserve"> is obesity prevalence for state j in year </w:t>
      </w:r>
      <w:proofErr w:type="spellStart"/>
      <w:r>
        <w:t>i</w:t>
      </w:r>
      <w:proofErr w:type="spellEnd"/>
      <w:r>
        <w:t xml:space="preserve">; β₀, β₁, β₂, β₃ are fixed effects; </w:t>
      </w:r>
      <w:proofErr w:type="spellStart"/>
      <w:r>
        <w:t>u₀j</w:t>
      </w:r>
      <w:proofErr w:type="spellEnd"/>
      <w:r>
        <w:t xml:space="preserve"> ~ N(0, τ₀²) and </w:t>
      </w:r>
      <w:proofErr w:type="spellStart"/>
      <w:r>
        <w:t>u₁j</w:t>
      </w:r>
      <w:proofErr w:type="spellEnd"/>
      <w:r>
        <w:t xml:space="preserve"> ~ N(0, τ₁²) are state-specific random intercept and slope deviations, assumed jointly normal; and </w:t>
      </w:r>
      <w:proofErr w:type="spellStart"/>
      <w:r>
        <w:t>ε_ij</w:t>
      </w:r>
      <w:proofErr w:type="spellEnd"/>
      <w:r>
        <w:t xml:space="preserve"> ~ N(0, σ²) is the residual error. AIC, BIC, and LRT were used for model comparison. Final inference on fixed effects is drawn from M3 as the best-fitting model.</w:t>
      </w:r>
    </w:p>
    <w:p w14:paraId="5C25196C" w14:textId="77777777" w:rsidR="0051328D" w:rsidRDefault="0051328D" w:rsidP="0051328D"/>
    <w:p w14:paraId="2753D2E7" w14:textId="77777777" w:rsidR="0051328D" w:rsidRDefault="0051328D" w:rsidP="0051328D"/>
    <w:p w14:paraId="55CEBEC2" w14:textId="1BA5D82E" w:rsidR="0051328D" w:rsidRPr="004F037F" w:rsidRDefault="0051328D" w:rsidP="0051328D">
      <w:pPr>
        <w:rPr>
          <w:sz w:val="32"/>
          <w:szCs w:val="28"/>
        </w:rPr>
      </w:pPr>
      <w:r w:rsidRPr="004F037F">
        <w:rPr>
          <w:sz w:val="32"/>
          <w:szCs w:val="28"/>
        </w:rPr>
        <w:t>Results</w:t>
      </w:r>
    </w:p>
    <w:p w14:paraId="77790652" w14:textId="77777777" w:rsidR="0051328D" w:rsidRDefault="0051328D" w:rsidP="0051328D"/>
    <w:p w14:paraId="78F45C91" w14:textId="18129333" w:rsidR="0051328D" w:rsidRDefault="0051328D" w:rsidP="0051328D">
      <w:r>
        <w:t>Variance Decomposition (ICC)</w:t>
      </w:r>
    </w:p>
    <w:p w14:paraId="51900C5A" w14:textId="77777777" w:rsidR="0051328D" w:rsidRDefault="0051328D" w:rsidP="0051328D"/>
    <w:p w14:paraId="1E36C545" w14:textId="4FFF0EAB" w:rsidR="0051328D" w:rsidRDefault="0051328D" w:rsidP="0051328D">
      <w:r>
        <w:t>The null model (M0) partitioned total variance in obesity prevalence into between-state (τ² = 12.57) and within-state residual (σ² = 6.09) components. The intraclass correlation coefficient (ICC) was 0.674, indicating that 67.4% of the total variance in state obesity prevalence is attributable to stable differences between states rather than year-to-year fluctuation within states. This large ICC confirms that multilevel modeling is warranted.</w:t>
      </w:r>
    </w:p>
    <w:p w14:paraId="363AA31C" w14:textId="77777777" w:rsidR="0051328D" w:rsidRDefault="0051328D" w:rsidP="0051328D"/>
    <w:p w14:paraId="0290481C" w14:textId="2160C281" w:rsidR="0051328D" w:rsidRDefault="0051328D" w:rsidP="0051328D">
      <w:r>
        <w:t>Model Comparison</w:t>
      </w:r>
    </w:p>
    <w:p w14:paraId="742B12F7" w14:textId="77777777" w:rsidR="0051328D" w:rsidRDefault="0051328D" w:rsidP="0051328D"/>
    <w:tbl>
      <w:tblPr>
        <w:tblStyle w:val="GridTable3"/>
        <w:tblW w:w="0" w:type="auto"/>
        <w:tblLook w:val="04A0" w:firstRow="1" w:lastRow="0" w:firstColumn="1" w:lastColumn="0" w:noHBand="0" w:noVBand="1"/>
      </w:tblPr>
      <w:tblGrid>
        <w:gridCol w:w="2875"/>
        <w:gridCol w:w="1440"/>
        <w:gridCol w:w="1620"/>
        <w:gridCol w:w="1545"/>
        <w:gridCol w:w="1870"/>
      </w:tblGrid>
      <w:tr w:rsidR="004F037F" w14:paraId="74F790ED" w14:textId="77777777" w:rsidTr="00FF6B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75" w:type="dxa"/>
          </w:tcPr>
          <w:p w14:paraId="20D68BD4" w14:textId="74D43253" w:rsidR="004F037F" w:rsidRDefault="004F037F" w:rsidP="0051328D">
            <w:r>
              <w:t>Model</w:t>
            </w:r>
          </w:p>
        </w:tc>
        <w:tc>
          <w:tcPr>
            <w:tcW w:w="1440" w:type="dxa"/>
          </w:tcPr>
          <w:p w14:paraId="61BEFDDC" w14:textId="1A9E54E3" w:rsidR="004F037F" w:rsidRDefault="004F037F" w:rsidP="0051328D">
            <w:pPr>
              <w:cnfStyle w:val="100000000000" w:firstRow="1" w:lastRow="0" w:firstColumn="0" w:lastColumn="0" w:oddVBand="0" w:evenVBand="0" w:oddHBand="0" w:evenHBand="0" w:firstRowFirstColumn="0" w:firstRowLastColumn="0" w:lastRowFirstColumn="0" w:lastRowLastColumn="0"/>
            </w:pPr>
            <w:r>
              <w:t>Parameters</w:t>
            </w:r>
          </w:p>
        </w:tc>
        <w:tc>
          <w:tcPr>
            <w:tcW w:w="1620" w:type="dxa"/>
          </w:tcPr>
          <w:p w14:paraId="771DC373" w14:textId="0D15DA4A" w:rsidR="004F037F" w:rsidRDefault="004F037F" w:rsidP="0051328D">
            <w:pPr>
              <w:cnfStyle w:val="100000000000" w:firstRow="1" w:lastRow="0" w:firstColumn="0" w:lastColumn="0" w:oddVBand="0" w:evenVBand="0" w:oddHBand="0" w:evenHBand="0" w:firstRowFirstColumn="0" w:firstRowLastColumn="0" w:lastRowFirstColumn="0" w:lastRowLastColumn="0"/>
            </w:pPr>
            <w:r>
              <w:t>AIC</w:t>
            </w:r>
          </w:p>
        </w:tc>
        <w:tc>
          <w:tcPr>
            <w:tcW w:w="1545" w:type="dxa"/>
          </w:tcPr>
          <w:p w14:paraId="4BE00D82" w14:textId="4368110B" w:rsidR="004F037F" w:rsidRDefault="004F037F" w:rsidP="0051328D">
            <w:pPr>
              <w:cnfStyle w:val="100000000000" w:firstRow="1" w:lastRow="0" w:firstColumn="0" w:lastColumn="0" w:oddVBand="0" w:evenVBand="0" w:oddHBand="0" w:evenHBand="0" w:firstRowFirstColumn="0" w:firstRowLastColumn="0" w:lastRowFirstColumn="0" w:lastRowLastColumn="0"/>
            </w:pPr>
            <w:r>
              <w:t>BIC</w:t>
            </w:r>
          </w:p>
        </w:tc>
        <w:tc>
          <w:tcPr>
            <w:tcW w:w="1870" w:type="dxa"/>
          </w:tcPr>
          <w:p w14:paraId="6D73224B" w14:textId="6EAEF3C4" w:rsidR="004F037F" w:rsidRDefault="004F037F" w:rsidP="0051328D">
            <w:pPr>
              <w:cnfStyle w:val="100000000000" w:firstRow="1" w:lastRow="0" w:firstColumn="0" w:lastColumn="0" w:oddVBand="0" w:evenVBand="0" w:oddHBand="0" w:evenHBand="0" w:firstRowFirstColumn="0" w:firstRowLastColumn="0" w:lastRowFirstColumn="0" w:lastRowLastColumn="0"/>
            </w:pPr>
            <w:r>
              <w:t>Log-Likelihood</w:t>
            </w:r>
          </w:p>
        </w:tc>
      </w:tr>
      <w:tr w:rsidR="004F037F" w14:paraId="4860CC68" w14:textId="77777777" w:rsidTr="00FF6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587FD3B3" w14:textId="4BB58179" w:rsidR="004F037F" w:rsidRDefault="004F037F" w:rsidP="0051328D">
            <w:r>
              <w:t>M0: Null</w:t>
            </w:r>
          </w:p>
        </w:tc>
        <w:tc>
          <w:tcPr>
            <w:tcW w:w="1440" w:type="dxa"/>
          </w:tcPr>
          <w:p w14:paraId="3AE960C1" w14:textId="0D34DF05" w:rsidR="004F037F" w:rsidRDefault="004F037F" w:rsidP="0051328D">
            <w:pPr>
              <w:cnfStyle w:val="000000100000" w:firstRow="0" w:lastRow="0" w:firstColumn="0" w:lastColumn="0" w:oddVBand="0" w:evenVBand="0" w:oddHBand="1" w:evenHBand="0" w:firstRowFirstColumn="0" w:firstRowLastColumn="0" w:lastRowFirstColumn="0" w:lastRowLastColumn="0"/>
            </w:pPr>
            <w:r>
              <w:t>3</w:t>
            </w:r>
          </w:p>
        </w:tc>
        <w:tc>
          <w:tcPr>
            <w:tcW w:w="1620" w:type="dxa"/>
          </w:tcPr>
          <w:p w14:paraId="2631A714" w14:textId="7FD8410F" w:rsidR="004F037F" w:rsidRDefault="004F037F" w:rsidP="0051328D">
            <w:pPr>
              <w:cnfStyle w:val="000000100000" w:firstRow="0" w:lastRow="0" w:firstColumn="0" w:lastColumn="0" w:oddVBand="0" w:evenVBand="0" w:oddHBand="1" w:evenHBand="0" w:firstRowFirstColumn="0" w:firstRowLastColumn="0" w:lastRowFirstColumn="0" w:lastRowLastColumn="0"/>
            </w:pPr>
            <w:r>
              <w:t>3471.7</w:t>
            </w:r>
          </w:p>
        </w:tc>
        <w:tc>
          <w:tcPr>
            <w:tcW w:w="1545" w:type="dxa"/>
          </w:tcPr>
          <w:p w14:paraId="59E3715F" w14:textId="1AE2B102" w:rsidR="004F037F" w:rsidRDefault="004F037F" w:rsidP="0051328D">
            <w:pPr>
              <w:cnfStyle w:val="000000100000" w:firstRow="0" w:lastRow="0" w:firstColumn="0" w:lastColumn="0" w:oddVBand="0" w:evenVBand="0" w:oddHBand="1" w:evenHBand="0" w:firstRowFirstColumn="0" w:firstRowLastColumn="0" w:lastRowFirstColumn="0" w:lastRowLastColumn="0"/>
            </w:pPr>
            <w:r>
              <w:t>3485.4</w:t>
            </w:r>
          </w:p>
        </w:tc>
        <w:tc>
          <w:tcPr>
            <w:tcW w:w="1870" w:type="dxa"/>
          </w:tcPr>
          <w:p w14:paraId="058131D1" w14:textId="1FF10E41" w:rsidR="004F037F" w:rsidRDefault="004F037F" w:rsidP="0051328D">
            <w:pPr>
              <w:cnfStyle w:val="000000100000" w:firstRow="0" w:lastRow="0" w:firstColumn="0" w:lastColumn="0" w:oddVBand="0" w:evenVBand="0" w:oddHBand="1" w:evenHBand="0" w:firstRowFirstColumn="0" w:firstRowLastColumn="0" w:lastRowFirstColumn="0" w:lastRowLastColumn="0"/>
            </w:pPr>
            <w:r>
              <w:t>-1732.9</w:t>
            </w:r>
          </w:p>
        </w:tc>
      </w:tr>
      <w:tr w:rsidR="004F037F" w14:paraId="554237F2" w14:textId="77777777" w:rsidTr="00FF6B12">
        <w:tc>
          <w:tcPr>
            <w:cnfStyle w:val="001000000000" w:firstRow="0" w:lastRow="0" w:firstColumn="1" w:lastColumn="0" w:oddVBand="0" w:evenVBand="0" w:oddHBand="0" w:evenHBand="0" w:firstRowFirstColumn="0" w:firstRowLastColumn="0" w:lastRowFirstColumn="0" w:lastRowLastColumn="0"/>
            <w:tcW w:w="2875" w:type="dxa"/>
          </w:tcPr>
          <w:p w14:paraId="448E9570" w14:textId="20C3C61C" w:rsidR="004F037F" w:rsidRDefault="004F037F" w:rsidP="0051328D">
            <w:r>
              <w:t>M1: + Time</w:t>
            </w:r>
          </w:p>
        </w:tc>
        <w:tc>
          <w:tcPr>
            <w:tcW w:w="1440" w:type="dxa"/>
          </w:tcPr>
          <w:p w14:paraId="2D07B37E" w14:textId="1193D766" w:rsidR="004F037F" w:rsidRDefault="004F037F" w:rsidP="0051328D">
            <w:pPr>
              <w:cnfStyle w:val="000000000000" w:firstRow="0" w:lastRow="0" w:firstColumn="0" w:lastColumn="0" w:oddVBand="0" w:evenVBand="0" w:oddHBand="0" w:evenHBand="0" w:firstRowFirstColumn="0" w:firstRowLastColumn="0" w:lastRowFirstColumn="0" w:lastRowLastColumn="0"/>
            </w:pPr>
            <w:r>
              <w:t>4</w:t>
            </w:r>
          </w:p>
        </w:tc>
        <w:tc>
          <w:tcPr>
            <w:tcW w:w="1620" w:type="dxa"/>
          </w:tcPr>
          <w:p w14:paraId="1B7DBF65" w14:textId="3817D546" w:rsidR="004F037F" w:rsidRDefault="004F037F" w:rsidP="0051328D">
            <w:pPr>
              <w:cnfStyle w:val="000000000000" w:firstRow="0" w:lastRow="0" w:firstColumn="0" w:lastColumn="0" w:oddVBand="0" w:evenVBand="0" w:oddHBand="0" w:evenHBand="0" w:firstRowFirstColumn="0" w:firstRowLastColumn="0" w:lastRowFirstColumn="0" w:lastRowLastColumn="0"/>
            </w:pPr>
            <w:r>
              <w:t>2399.9</w:t>
            </w:r>
          </w:p>
        </w:tc>
        <w:tc>
          <w:tcPr>
            <w:tcW w:w="1545" w:type="dxa"/>
          </w:tcPr>
          <w:p w14:paraId="42243845" w14:textId="51977C06" w:rsidR="004F037F" w:rsidRDefault="004F037F" w:rsidP="0051328D">
            <w:pPr>
              <w:cnfStyle w:val="000000000000" w:firstRow="0" w:lastRow="0" w:firstColumn="0" w:lastColumn="0" w:oddVBand="0" w:evenVBand="0" w:oddHBand="0" w:evenHBand="0" w:firstRowFirstColumn="0" w:firstRowLastColumn="0" w:lastRowFirstColumn="0" w:lastRowLastColumn="0"/>
            </w:pPr>
            <w:r>
              <w:t>2418.2</w:t>
            </w:r>
          </w:p>
        </w:tc>
        <w:tc>
          <w:tcPr>
            <w:tcW w:w="1870" w:type="dxa"/>
          </w:tcPr>
          <w:p w14:paraId="028F79D9" w14:textId="4DCC3FB6" w:rsidR="004F037F" w:rsidRDefault="004F037F" w:rsidP="0051328D">
            <w:pPr>
              <w:cnfStyle w:val="000000000000" w:firstRow="0" w:lastRow="0" w:firstColumn="0" w:lastColumn="0" w:oddVBand="0" w:evenVBand="0" w:oddHBand="0" w:evenHBand="0" w:firstRowFirstColumn="0" w:firstRowLastColumn="0" w:lastRowFirstColumn="0" w:lastRowLastColumn="0"/>
            </w:pPr>
            <w:r>
              <w:t>-1196.0</w:t>
            </w:r>
          </w:p>
        </w:tc>
      </w:tr>
      <w:tr w:rsidR="004F037F" w14:paraId="7A89812C" w14:textId="77777777" w:rsidTr="00FF6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68692F02" w14:textId="0C391FD5" w:rsidR="004F037F" w:rsidRDefault="004F037F" w:rsidP="0051328D">
            <w:r>
              <w:t>M2: + Inactivity + Poverty</w:t>
            </w:r>
          </w:p>
        </w:tc>
        <w:tc>
          <w:tcPr>
            <w:tcW w:w="1440" w:type="dxa"/>
          </w:tcPr>
          <w:p w14:paraId="263D4661" w14:textId="0686E741" w:rsidR="004F037F" w:rsidRDefault="004F037F" w:rsidP="0051328D">
            <w:pPr>
              <w:cnfStyle w:val="000000100000" w:firstRow="0" w:lastRow="0" w:firstColumn="0" w:lastColumn="0" w:oddVBand="0" w:evenVBand="0" w:oddHBand="1" w:evenHBand="0" w:firstRowFirstColumn="0" w:firstRowLastColumn="0" w:lastRowFirstColumn="0" w:lastRowLastColumn="0"/>
            </w:pPr>
            <w:r>
              <w:t>6</w:t>
            </w:r>
          </w:p>
        </w:tc>
        <w:tc>
          <w:tcPr>
            <w:tcW w:w="1620" w:type="dxa"/>
          </w:tcPr>
          <w:p w14:paraId="17C1CB3C" w14:textId="13ED7CC3" w:rsidR="004F037F" w:rsidRDefault="004F037F" w:rsidP="0051328D">
            <w:pPr>
              <w:cnfStyle w:val="000000100000" w:firstRow="0" w:lastRow="0" w:firstColumn="0" w:lastColumn="0" w:oddVBand="0" w:evenVBand="0" w:oddHBand="1" w:evenHBand="0" w:firstRowFirstColumn="0" w:firstRowLastColumn="0" w:lastRowFirstColumn="0" w:lastRowLastColumn="0"/>
            </w:pPr>
            <w:r>
              <w:t>2392.0</w:t>
            </w:r>
          </w:p>
        </w:tc>
        <w:tc>
          <w:tcPr>
            <w:tcW w:w="1545" w:type="dxa"/>
          </w:tcPr>
          <w:p w14:paraId="009E8807" w14:textId="6D1ED8DF" w:rsidR="004F037F" w:rsidRDefault="004F037F" w:rsidP="0051328D">
            <w:pPr>
              <w:cnfStyle w:val="000000100000" w:firstRow="0" w:lastRow="0" w:firstColumn="0" w:lastColumn="0" w:oddVBand="0" w:evenVBand="0" w:oddHBand="1" w:evenHBand="0" w:firstRowFirstColumn="0" w:firstRowLastColumn="0" w:lastRowFirstColumn="0" w:lastRowLastColumn="0"/>
            </w:pPr>
            <w:r>
              <w:t>2419.4</w:t>
            </w:r>
          </w:p>
        </w:tc>
        <w:tc>
          <w:tcPr>
            <w:tcW w:w="1870" w:type="dxa"/>
          </w:tcPr>
          <w:p w14:paraId="5CD5361B" w14:textId="20527D5C" w:rsidR="004F037F" w:rsidRDefault="004F037F" w:rsidP="0051328D">
            <w:pPr>
              <w:cnfStyle w:val="000000100000" w:firstRow="0" w:lastRow="0" w:firstColumn="0" w:lastColumn="0" w:oddVBand="0" w:evenVBand="0" w:oddHBand="1" w:evenHBand="0" w:firstRowFirstColumn="0" w:firstRowLastColumn="0" w:lastRowFirstColumn="0" w:lastRowLastColumn="0"/>
            </w:pPr>
            <w:r>
              <w:t>-1196.0</w:t>
            </w:r>
          </w:p>
        </w:tc>
      </w:tr>
      <w:tr w:rsidR="004F037F" w14:paraId="72E9DAFD" w14:textId="77777777" w:rsidTr="00FF6B12">
        <w:tc>
          <w:tcPr>
            <w:cnfStyle w:val="001000000000" w:firstRow="0" w:lastRow="0" w:firstColumn="1" w:lastColumn="0" w:oddVBand="0" w:evenVBand="0" w:oddHBand="0" w:evenHBand="0" w:firstRowFirstColumn="0" w:firstRowLastColumn="0" w:lastRowFirstColumn="0" w:lastRowLastColumn="0"/>
            <w:tcW w:w="2875" w:type="dxa"/>
          </w:tcPr>
          <w:p w14:paraId="082D78B6" w14:textId="6147F307" w:rsidR="004F037F" w:rsidRDefault="004F037F" w:rsidP="0051328D">
            <w:r>
              <w:t>M3: + Random slope</w:t>
            </w:r>
          </w:p>
        </w:tc>
        <w:tc>
          <w:tcPr>
            <w:tcW w:w="1440" w:type="dxa"/>
          </w:tcPr>
          <w:p w14:paraId="537C9E08" w14:textId="20433554" w:rsidR="004F037F" w:rsidRDefault="004F037F" w:rsidP="0051328D">
            <w:pPr>
              <w:cnfStyle w:val="000000000000" w:firstRow="0" w:lastRow="0" w:firstColumn="0" w:lastColumn="0" w:oddVBand="0" w:evenVBand="0" w:oddHBand="0" w:evenHBand="0" w:firstRowFirstColumn="0" w:firstRowLastColumn="0" w:lastRowFirstColumn="0" w:lastRowLastColumn="0"/>
            </w:pPr>
            <w:r>
              <w:t>8</w:t>
            </w:r>
          </w:p>
        </w:tc>
        <w:tc>
          <w:tcPr>
            <w:tcW w:w="1620" w:type="dxa"/>
          </w:tcPr>
          <w:p w14:paraId="6EC7706C" w14:textId="4A00AF98" w:rsidR="004F037F" w:rsidRDefault="004F037F" w:rsidP="0051328D">
            <w:pPr>
              <w:cnfStyle w:val="000000000000" w:firstRow="0" w:lastRow="0" w:firstColumn="0" w:lastColumn="0" w:oddVBand="0" w:evenVBand="0" w:oddHBand="0" w:evenHBand="0" w:firstRowFirstColumn="0" w:firstRowLastColumn="0" w:lastRowFirstColumn="0" w:lastRowLastColumn="0"/>
            </w:pPr>
            <w:r>
              <w:t>2328.6</w:t>
            </w:r>
          </w:p>
        </w:tc>
        <w:tc>
          <w:tcPr>
            <w:tcW w:w="1545" w:type="dxa"/>
          </w:tcPr>
          <w:p w14:paraId="7430BF11" w14:textId="25BA01D0" w:rsidR="004F037F" w:rsidRDefault="004F037F" w:rsidP="0051328D">
            <w:pPr>
              <w:cnfStyle w:val="000000000000" w:firstRow="0" w:lastRow="0" w:firstColumn="0" w:lastColumn="0" w:oddVBand="0" w:evenVBand="0" w:oddHBand="0" w:evenHBand="0" w:firstRowFirstColumn="0" w:firstRowLastColumn="0" w:lastRowFirstColumn="0" w:lastRowLastColumn="0"/>
            </w:pPr>
            <w:r>
              <w:t>2365.1</w:t>
            </w:r>
          </w:p>
        </w:tc>
        <w:tc>
          <w:tcPr>
            <w:tcW w:w="1870" w:type="dxa"/>
          </w:tcPr>
          <w:p w14:paraId="0D1ED54E" w14:textId="51AB5FA7" w:rsidR="004F037F" w:rsidRDefault="004F037F" w:rsidP="0051328D">
            <w:pPr>
              <w:cnfStyle w:val="000000000000" w:firstRow="0" w:lastRow="0" w:firstColumn="0" w:lastColumn="0" w:oddVBand="0" w:evenVBand="0" w:oddHBand="0" w:evenHBand="0" w:firstRowFirstColumn="0" w:firstRowLastColumn="0" w:lastRowFirstColumn="0" w:lastRowLastColumn="0"/>
            </w:pPr>
            <w:r>
              <w:t>-1156.4</w:t>
            </w:r>
          </w:p>
        </w:tc>
      </w:tr>
    </w:tbl>
    <w:p w14:paraId="69C332A6" w14:textId="77777777" w:rsidR="004F037F" w:rsidRDefault="004F037F" w:rsidP="0051328D"/>
    <w:p w14:paraId="37A9B7EB" w14:textId="77777777" w:rsidR="0051328D" w:rsidRDefault="0051328D" w:rsidP="0051328D"/>
    <w:p w14:paraId="050174D6" w14:textId="1DC1A4E7" w:rsidR="0051328D" w:rsidRDefault="0051328D" w:rsidP="0051328D">
      <w:r>
        <w:t>Adding time (M0</w:t>
      </w:r>
      <w:r w:rsidR="004F037F">
        <w:t xml:space="preserve"> to </w:t>
      </w:r>
      <w:r>
        <w:t>M1) produced the largest improvement in fit (ΔAIC = 1072; LRT χ</w:t>
      </w:r>
      <w:proofErr w:type="gramStart"/>
      <w:r>
        <w:t>²(</w:t>
      </w:r>
      <w:proofErr w:type="gramEnd"/>
      <w:r>
        <w:t>1) = 1073.8, p &lt; 0.001). Adding both inactivity and poverty simultaneously (M1</w:t>
      </w:r>
      <w:r w:rsidR="004F037F">
        <w:t xml:space="preserve"> to </w:t>
      </w:r>
      <w:r>
        <w:t>M2) yielded a significant improvement (LRT χ</w:t>
      </w:r>
      <w:proofErr w:type="gramStart"/>
      <w:r>
        <w:t>²(</w:t>
      </w:r>
      <w:proofErr w:type="gramEnd"/>
      <w:r>
        <w:t>2) = 12.0, p = 0.002). Allowing the time slope to vary by state (M2</w:t>
      </w:r>
      <w:r w:rsidR="004F037F">
        <w:t xml:space="preserve"> to </w:t>
      </w:r>
      <w:r>
        <w:t>M3) produced substantial additional improvement (LRT χ</w:t>
      </w:r>
      <w:proofErr w:type="gramStart"/>
      <w:r>
        <w:t>²(</w:t>
      </w:r>
      <w:proofErr w:type="gramEnd"/>
      <w:r>
        <w:t>2) = 67.4, p &lt; 0.001), indicating meaningful heterogeneity in obesity trends across states. M3 was selected as the best-fitting model.</w:t>
      </w:r>
    </w:p>
    <w:p w14:paraId="23EBEDA4" w14:textId="77777777" w:rsidR="0051328D" w:rsidRDefault="0051328D" w:rsidP="0051328D"/>
    <w:p w14:paraId="2D087363" w14:textId="28DFF0EF" w:rsidR="0051328D" w:rsidRDefault="0051328D" w:rsidP="0051328D">
      <w:r>
        <w:t>Fixed Effects</w:t>
      </w:r>
    </w:p>
    <w:p w14:paraId="383F6964" w14:textId="77777777" w:rsidR="0051328D" w:rsidRDefault="0051328D" w:rsidP="0051328D"/>
    <w:p w14:paraId="73BB05A7" w14:textId="77777777" w:rsidR="0051328D" w:rsidRDefault="0051328D" w:rsidP="0051328D">
      <w:r>
        <w:t>Fixed effects from the best-fitting model (M3: random slope, with inactivity and poverty):</w:t>
      </w:r>
    </w:p>
    <w:p w14:paraId="68D4E02F" w14:textId="77777777" w:rsidR="0051328D" w:rsidRDefault="0051328D" w:rsidP="0051328D"/>
    <w:tbl>
      <w:tblPr>
        <w:tblStyle w:val="GridTable3"/>
        <w:tblW w:w="0" w:type="auto"/>
        <w:tblLook w:val="04A0" w:firstRow="1" w:lastRow="0" w:firstColumn="1" w:lastColumn="0" w:noHBand="0" w:noVBand="1"/>
      </w:tblPr>
      <w:tblGrid>
        <w:gridCol w:w="2123"/>
        <w:gridCol w:w="1387"/>
        <w:gridCol w:w="1530"/>
        <w:gridCol w:w="1257"/>
        <w:gridCol w:w="1529"/>
        <w:gridCol w:w="1534"/>
      </w:tblGrid>
      <w:tr w:rsidR="004F037F" w14:paraId="471D5AAD" w14:textId="77777777" w:rsidTr="00FF6B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3" w:type="dxa"/>
          </w:tcPr>
          <w:p w14:paraId="230A94CF" w14:textId="08B9E88A" w:rsidR="004F037F" w:rsidRDefault="004F037F" w:rsidP="0051328D">
            <w:r>
              <w:t>Term</w:t>
            </w:r>
          </w:p>
        </w:tc>
        <w:tc>
          <w:tcPr>
            <w:tcW w:w="1387" w:type="dxa"/>
          </w:tcPr>
          <w:p w14:paraId="67FB99E5" w14:textId="516CA647" w:rsidR="004F037F" w:rsidRDefault="004F037F" w:rsidP="0051328D">
            <w:pPr>
              <w:cnfStyle w:val="100000000000" w:firstRow="1" w:lastRow="0" w:firstColumn="0" w:lastColumn="0" w:oddVBand="0" w:evenVBand="0" w:oddHBand="0" w:evenHBand="0" w:firstRowFirstColumn="0" w:firstRowLastColumn="0" w:lastRowFirstColumn="0" w:lastRowLastColumn="0"/>
            </w:pPr>
            <w:r>
              <w:t>Estimate</w:t>
            </w:r>
          </w:p>
        </w:tc>
        <w:tc>
          <w:tcPr>
            <w:tcW w:w="1530" w:type="dxa"/>
          </w:tcPr>
          <w:p w14:paraId="3A4BD815" w14:textId="6EE10E78" w:rsidR="004F037F" w:rsidRDefault="004F037F" w:rsidP="0051328D">
            <w:pPr>
              <w:cnfStyle w:val="100000000000" w:firstRow="1" w:lastRow="0" w:firstColumn="0" w:lastColumn="0" w:oddVBand="0" w:evenVBand="0" w:oddHBand="0" w:evenHBand="0" w:firstRowFirstColumn="0" w:firstRowLastColumn="0" w:lastRowFirstColumn="0" w:lastRowLastColumn="0"/>
            </w:pPr>
            <w:r>
              <w:t>SE</w:t>
            </w:r>
          </w:p>
        </w:tc>
        <w:tc>
          <w:tcPr>
            <w:tcW w:w="1257" w:type="dxa"/>
          </w:tcPr>
          <w:p w14:paraId="0AAD7B11" w14:textId="4AF4FD6A" w:rsidR="004F037F" w:rsidRDefault="004F037F" w:rsidP="0051328D">
            <w:pPr>
              <w:cnfStyle w:val="100000000000" w:firstRow="1" w:lastRow="0" w:firstColumn="0" w:lastColumn="0" w:oddVBand="0" w:evenVBand="0" w:oddHBand="0" w:evenHBand="0" w:firstRowFirstColumn="0" w:firstRowLastColumn="0" w:lastRowFirstColumn="0" w:lastRowLastColumn="0"/>
            </w:pPr>
            <w:r>
              <w:t>t</w:t>
            </w:r>
          </w:p>
        </w:tc>
        <w:tc>
          <w:tcPr>
            <w:tcW w:w="1529" w:type="dxa"/>
          </w:tcPr>
          <w:p w14:paraId="3C57020F" w14:textId="62E61110" w:rsidR="004F037F" w:rsidRDefault="004F037F" w:rsidP="0051328D">
            <w:pPr>
              <w:cnfStyle w:val="100000000000" w:firstRow="1" w:lastRow="0" w:firstColumn="0" w:lastColumn="0" w:oddVBand="0" w:evenVBand="0" w:oddHBand="0" w:evenHBand="0" w:firstRowFirstColumn="0" w:firstRowLastColumn="0" w:lastRowFirstColumn="0" w:lastRowLastColumn="0"/>
            </w:pPr>
            <w:r>
              <w:t>p</w:t>
            </w:r>
          </w:p>
        </w:tc>
        <w:tc>
          <w:tcPr>
            <w:tcW w:w="1534" w:type="dxa"/>
          </w:tcPr>
          <w:p w14:paraId="70F6CCD7" w14:textId="7AD49DB1" w:rsidR="004F037F" w:rsidRDefault="004F037F" w:rsidP="0051328D">
            <w:pPr>
              <w:cnfStyle w:val="100000000000" w:firstRow="1" w:lastRow="0" w:firstColumn="0" w:lastColumn="0" w:oddVBand="0" w:evenVBand="0" w:oddHBand="0" w:evenHBand="0" w:firstRowFirstColumn="0" w:firstRowLastColumn="0" w:lastRowFirstColumn="0" w:lastRowLastColumn="0"/>
            </w:pPr>
            <w:r>
              <w:t>95% CI</w:t>
            </w:r>
          </w:p>
        </w:tc>
      </w:tr>
      <w:tr w:rsidR="004F037F" w14:paraId="7710E359" w14:textId="77777777" w:rsidTr="00FF6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4C2C8161" w14:textId="7B5CEEE0" w:rsidR="004F037F" w:rsidRDefault="004F037F" w:rsidP="0051328D">
            <w:r>
              <w:t>Intercept (baseline, 2011)</w:t>
            </w:r>
          </w:p>
        </w:tc>
        <w:tc>
          <w:tcPr>
            <w:tcW w:w="1387" w:type="dxa"/>
          </w:tcPr>
          <w:p w14:paraId="626C3A9B" w14:textId="3679460B" w:rsidR="004F037F" w:rsidRDefault="004F037F" w:rsidP="0051328D">
            <w:pPr>
              <w:cnfStyle w:val="000000100000" w:firstRow="0" w:lastRow="0" w:firstColumn="0" w:lastColumn="0" w:oddVBand="0" w:evenVBand="0" w:oddHBand="1" w:evenHBand="0" w:firstRowFirstColumn="0" w:firstRowLastColumn="0" w:lastRowFirstColumn="0" w:lastRowLastColumn="0"/>
            </w:pPr>
            <w:r>
              <w:t>23.90</w:t>
            </w:r>
          </w:p>
        </w:tc>
        <w:tc>
          <w:tcPr>
            <w:tcW w:w="1530" w:type="dxa"/>
          </w:tcPr>
          <w:p w14:paraId="6D113A60" w14:textId="5640B46E" w:rsidR="004F037F" w:rsidRDefault="004F037F" w:rsidP="0051328D">
            <w:pPr>
              <w:cnfStyle w:val="000000100000" w:firstRow="0" w:lastRow="0" w:firstColumn="0" w:lastColumn="0" w:oddVBand="0" w:evenVBand="0" w:oddHBand="1" w:evenHBand="0" w:firstRowFirstColumn="0" w:firstRowLastColumn="0" w:lastRowFirstColumn="0" w:lastRowLastColumn="0"/>
            </w:pPr>
            <w:r>
              <w:t>1.01</w:t>
            </w:r>
          </w:p>
        </w:tc>
        <w:tc>
          <w:tcPr>
            <w:tcW w:w="1257" w:type="dxa"/>
          </w:tcPr>
          <w:p w14:paraId="48F96E8F" w14:textId="0F6FE6CE" w:rsidR="004F037F" w:rsidRDefault="004F037F" w:rsidP="0051328D">
            <w:pPr>
              <w:cnfStyle w:val="000000100000" w:firstRow="0" w:lastRow="0" w:firstColumn="0" w:lastColumn="0" w:oddVBand="0" w:evenVBand="0" w:oddHBand="1" w:evenHBand="0" w:firstRowFirstColumn="0" w:firstRowLastColumn="0" w:lastRowFirstColumn="0" w:lastRowLastColumn="0"/>
            </w:pPr>
            <w:r>
              <w:t>23.6</w:t>
            </w:r>
          </w:p>
        </w:tc>
        <w:tc>
          <w:tcPr>
            <w:tcW w:w="1529" w:type="dxa"/>
          </w:tcPr>
          <w:p w14:paraId="24133D31" w14:textId="57267726" w:rsidR="004F037F" w:rsidRDefault="004F037F" w:rsidP="0051328D">
            <w:pPr>
              <w:cnfStyle w:val="000000100000" w:firstRow="0" w:lastRow="0" w:firstColumn="0" w:lastColumn="0" w:oddVBand="0" w:evenVBand="0" w:oddHBand="1" w:evenHBand="0" w:firstRowFirstColumn="0" w:firstRowLastColumn="0" w:lastRowFirstColumn="0" w:lastRowLastColumn="0"/>
            </w:pPr>
            <w:r>
              <w:t>&lt;</w:t>
            </w:r>
            <w:r w:rsidR="00402152">
              <w:t xml:space="preserve"> 0.001</w:t>
            </w:r>
          </w:p>
        </w:tc>
        <w:tc>
          <w:tcPr>
            <w:tcW w:w="1534" w:type="dxa"/>
          </w:tcPr>
          <w:p w14:paraId="111F4118" w14:textId="2AD36486" w:rsidR="004F037F" w:rsidRDefault="00402152" w:rsidP="0051328D">
            <w:pPr>
              <w:cnfStyle w:val="000000100000" w:firstRow="0" w:lastRow="0" w:firstColumn="0" w:lastColumn="0" w:oddVBand="0" w:evenVBand="0" w:oddHBand="1" w:evenHBand="0" w:firstRowFirstColumn="0" w:firstRowLastColumn="0" w:lastRowFirstColumn="0" w:lastRowLastColumn="0"/>
            </w:pPr>
            <w:r>
              <w:t>[21.9, 25.9]</w:t>
            </w:r>
          </w:p>
        </w:tc>
      </w:tr>
      <w:tr w:rsidR="00402152" w14:paraId="12830C82" w14:textId="77777777" w:rsidTr="00FF6B12">
        <w:tc>
          <w:tcPr>
            <w:cnfStyle w:val="001000000000" w:firstRow="0" w:lastRow="0" w:firstColumn="1" w:lastColumn="0" w:oddVBand="0" w:evenVBand="0" w:oddHBand="0" w:evenHBand="0" w:firstRowFirstColumn="0" w:firstRowLastColumn="0" w:lastRowFirstColumn="0" w:lastRowLastColumn="0"/>
            <w:tcW w:w="2123" w:type="dxa"/>
          </w:tcPr>
          <w:p w14:paraId="5DEEBEEC" w14:textId="5B4CD0FB" w:rsidR="00402152" w:rsidRDefault="00402152" w:rsidP="00402152">
            <w:r>
              <w:t>Year</w:t>
            </w:r>
          </w:p>
        </w:tc>
        <w:tc>
          <w:tcPr>
            <w:tcW w:w="1387" w:type="dxa"/>
          </w:tcPr>
          <w:p w14:paraId="2B1F4BA9" w14:textId="2D542F94" w:rsidR="00402152" w:rsidRDefault="00402152" w:rsidP="00402152">
            <w:pPr>
              <w:cnfStyle w:val="000000000000" w:firstRow="0" w:lastRow="0" w:firstColumn="0" w:lastColumn="0" w:oddVBand="0" w:evenVBand="0" w:oddHBand="0" w:evenHBand="0" w:firstRowFirstColumn="0" w:firstRowLastColumn="0" w:lastRowFirstColumn="0" w:lastRowLastColumn="0"/>
            </w:pPr>
            <w:r>
              <w:t>0.578</w:t>
            </w:r>
          </w:p>
        </w:tc>
        <w:tc>
          <w:tcPr>
            <w:tcW w:w="1530" w:type="dxa"/>
          </w:tcPr>
          <w:p w14:paraId="6AA669C2" w14:textId="751D5A89" w:rsidR="00402152" w:rsidRDefault="00402152" w:rsidP="00402152">
            <w:pPr>
              <w:cnfStyle w:val="000000000000" w:firstRow="0" w:lastRow="0" w:firstColumn="0" w:lastColumn="0" w:oddVBand="0" w:evenVBand="0" w:oddHBand="0" w:evenHBand="0" w:firstRowFirstColumn="0" w:firstRowLastColumn="0" w:lastRowFirstColumn="0" w:lastRowLastColumn="0"/>
            </w:pPr>
            <w:r>
              <w:t>0.022</w:t>
            </w:r>
          </w:p>
        </w:tc>
        <w:tc>
          <w:tcPr>
            <w:tcW w:w="1257" w:type="dxa"/>
          </w:tcPr>
          <w:p w14:paraId="0D342FBD" w14:textId="7D26A5FA" w:rsidR="00402152" w:rsidRDefault="00402152" w:rsidP="00402152">
            <w:pPr>
              <w:cnfStyle w:val="000000000000" w:firstRow="0" w:lastRow="0" w:firstColumn="0" w:lastColumn="0" w:oddVBand="0" w:evenVBand="0" w:oddHBand="0" w:evenHBand="0" w:firstRowFirstColumn="0" w:firstRowLastColumn="0" w:lastRowFirstColumn="0" w:lastRowLastColumn="0"/>
            </w:pPr>
            <w:r>
              <w:t>26.2</w:t>
            </w:r>
          </w:p>
        </w:tc>
        <w:tc>
          <w:tcPr>
            <w:tcW w:w="1529" w:type="dxa"/>
          </w:tcPr>
          <w:p w14:paraId="26182D98" w14:textId="46DDC97E" w:rsidR="00402152" w:rsidRDefault="00402152" w:rsidP="00402152">
            <w:pPr>
              <w:cnfStyle w:val="000000000000" w:firstRow="0" w:lastRow="0" w:firstColumn="0" w:lastColumn="0" w:oddVBand="0" w:evenVBand="0" w:oddHBand="0" w:evenHBand="0" w:firstRowFirstColumn="0" w:firstRowLastColumn="0" w:lastRowFirstColumn="0" w:lastRowLastColumn="0"/>
            </w:pPr>
            <w:r>
              <w:t>&lt; 0.001</w:t>
            </w:r>
          </w:p>
        </w:tc>
        <w:tc>
          <w:tcPr>
            <w:tcW w:w="1534" w:type="dxa"/>
          </w:tcPr>
          <w:p w14:paraId="0899E216" w14:textId="3D801958" w:rsidR="00402152" w:rsidRDefault="00402152" w:rsidP="00402152">
            <w:pPr>
              <w:cnfStyle w:val="000000000000" w:firstRow="0" w:lastRow="0" w:firstColumn="0" w:lastColumn="0" w:oddVBand="0" w:evenVBand="0" w:oddHBand="0" w:evenHBand="0" w:firstRowFirstColumn="0" w:firstRowLastColumn="0" w:lastRowFirstColumn="0" w:lastRowLastColumn="0"/>
            </w:pPr>
            <w:r>
              <w:t>[</w:t>
            </w:r>
            <w:r>
              <w:t>0.535, 0.622</w:t>
            </w:r>
            <w:r>
              <w:t>]</w:t>
            </w:r>
          </w:p>
        </w:tc>
      </w:tr>
      <w:tr w:rsidR="00402152" w14:paraId="14B4390E" w14:textId="77777777" w:rsidTr="00FF6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488398A4" w14:textId="30A5C03E" w:rsidR="00402152" w:rsidRDefault="00402152" w:rsidP="00402152">
            <w:r>
              <w:t>Inactivity</w:t>
            </w:r>
          </w:p>
        </w:tc>
        <w:tc>
          <w:tcPr>
            <w:tcW w:w="1387" w:type="dxa"/>
          </w:tcPr>
          <w:p w14:paraId="7B839501" w14:textId="517A82DD" w:rsidR="00402152" w:rsidRDefault="00402152" w:rsidP="00402152">
            <w:pPr>
              <w:cnfStyle w:val="000000100000" w:firstRow="0" w:lastRow="0" w:firstColumn="0" w:lastColumn="0" w:oddVBand="0" w:evenVBand="0" w:oddHBand="1" w:evenHBand="0" w:firstRowFirstColumn="0" w:firstRowLastColumn="0" w:lastRowFirstColumn="0" w:lastRowLastColumn="0"/>
            </w:pPr>
            <w:r>
              <w:t>0.057</w:t>
            </w:r>
          </w:p>
        </w:tc>
        <w:tc>
          <w:tcPr>
            <w:tcW w:w="1530" w:type="dxa"/>
          </w:tcPr>
          <w:p w14:paraId="01F847DF" w14:textId="47281B25" w:rsidR="00402152" w:rsidRDefault="00402152" w:rsidP="00402152">
            <w:pPr>
              <w:cnfStyle w:val="000000100000" w:firstRow="0" w:lastRow="0" w:firstColumn="0" w:lastColumn="0" w:oddVBand="0" w:evenVBand="0" w:oddHBand="1" w:evenHBand="0" w:firstRowFirstColumn="0" w:firstRowLastColumn="0" w:lastRowFirstColumn="0" w:lastRowLastColumn="0"/>
            </w:pPr>
            <w:r>
              <w:t>0.021</w:t>
            </w:r>
          </w:p>
        </w:tc>
        <w:tc>
          <w:tcPr>
            <w:tcW w:w="1257" w:type="dxa"/>
          </w:tcPr>
          <w:p w14:paraId="2CE9D6E8" w14:textId="30AE6B8E" w:rsidR="00402152" w:rsidRDefault="00402152" w:rsidP="00402152">
            <w:pPr>
              <w:cnfStyle w:val="000000100000" w:firstRow="0" w:lastRow="0" w:firstColumn="0" w:lastColumn="0" w:oddVBand="0" w:evenVBand="0" w:oddHBand="1" w:evenHBand="0" w:firstRowFirstColumn="0" w:firstRowLastColumn="0" w:lastRowFirstColumn="0" w:lastRowLastColumn="0"/>
            </w:pPr>
            <w:r>
              <w:t>2.77</w:t>
            </w:r>
          </w:p>
        </w:tc>
        <w:tc>
          <w:tcPr>
            <w:tcW w:w="1529" w:type="dxa"/>
          </w:tcPr>
          <w:p w14:paraId="21E65229" w14:textId="78DE492F" w:rsidR="00402152" w:rsidRDefault="00402152" w:rsidP="00402152">
            <w:pPr>
              <w:cnfStyle w:val="000000100000" w:firstRow="0" w:lastRow="0" w:firstColumn="0" w:lastColumn="0" w:oddVBand="0" w:evenVBand="0" w:oddHBand="1" w:evenHBand="0" w:firstRowFirstColumn="0" w:firstRowLastColumn="0" w:lastRowFirstColumn="0" w:lastRowLastColumn="0"/>
            </w:pPr>
            <w:r>
              <w:t>0.006</w:t>
            </w:r>
          </w:p>
        </w:tc>
        <w:tc>
          <w:tcPr>
            <w:tcW w:w="1534" w:type="dxa"/>
          </w:tcPr>
          <w:p w14:paraId="1BEAAB24" w14:textId="453541A3" w:rsidR="00402152" w:rsidRDefault="00402152" w:rsidP="00402152">
            <w:pPr>
              <w:cnfStyle w:val="000000100000" w:firstRow="0" w:lastRow="0" w:firstColumn="0" w:lastColumn="0" w:oddVBand="0" w:evenVBand="0" w:oddHBand="1" w:evenHBand="0" w:firstRowFirstColumn="0" w:firstRowLastColumn="0" w:lastRowFirstColumn="0" w:lastRowLastColumn="0"/>
            </w:pPr>
            <w:r>
              <w:t>[0.017, 0.097]</w:t>
            </w:r>
          </w:p>
        </w:tc>
      </w:tr>
      <w:tr w:rsidR="00402152" w14:paraId="0C171085" w14:textId="77777777" w:rsidTr="00FF6B12">
        <w:tc>
          <w:tcPr>
            <w:cnfStyle w:val="001000000000" w:firstRow="0" w:lastRow="0" w:firstColumn="1" w:lastColumn="0" w:oddVBand="0" w:evenVBand="0" w:oddHBand="0" w:evenHBand="0" w:firstRowFirstColumn="0" w:firstRowLastColumn="0" w:lastRowFirstColumn="0" w:lastRowLastColumn="0"/>
            <w:tcW w:w="2123" w:type="dxa"/>
          </w:tcPr>
          <w:p w14:paraId="60FD91AB" w14:textId="2CEF9BCC" w:rsidR="00402152" w:rsidRDefault="00402152" w:rsidP="00402152">
            <w:r>
              <w:lastRenderedPageBreak/>
              <w:t>Poverty Rate</w:t>
            </w:r>
          </w:p>
        </w:tc>
        <w:tc>
          <w:tcPr>
            <w:tcW w:w="1387" w:type="dxa"/>
          </w:tcPr>
          <w:p w14:paraId="7ACA472D" w14:textId="7303619F" w:rsidR="00402152" w:rsidRDefault="00402152" w:rsidP="00402152">
            <w:pPr>
              <w:cnfStyle w:val="000000000000" w:firstRow="0" w:lastRow="0" w:firstColumn="0" w:lastColumn="0" w:oddVBand="0" w:evenVBand="0" w:oddHBand="0" w:evenHBand="0" w:firstRowFirstColumn="0" w:firstRowLastColumn="0" w:lastRowFirstColumn="0" w:lastRowLastColumn="0"/>
            </w:pPr>
            <w:r>
              <w:t>0.143</w:t>
            </w:r>
          </w:p>
        </w:tc>
        <w:tc>
          <w:tcPr>
            <w:tcW w:w="1530" w:type="dxa"/>
          </w:tcPr>
          <w:p w14:paraId="3D19856E" w14:textId="2F481560" w:rsidR="00402152" w:rsidRDefault="00402152" w:rsidP="00402152">
            <w:pPr>
              <w:cnfStyle w:val="000000000000" w:firstRow="0" w:lastRow="0" w:firstColumn="0" w:lastColumn="0" w:oddVBand="0" w:evenVBand="0" w:oddHBand="0" w:evenHBand="0" w:firstRowFirstColumn="0" w:firstRowLastColumn="0" w:lastRowFirstColumn="0" w:lastRowLastColumn="0"/>
            </w:pPr>
            <w:r>
              <w:t>0.047</w:t>
            </w:r>
          </w:p>
        </w:tc>
        <w:tc>
          <w:tcPr>
            <w:tcW w:w="1257" w:type="dxa"/>
          </w:tcPr>
          <w:p w14:paraId="17209F03" w14:textId="57083724" w:rsidR="00402152" w:rsidRDefault="00402152" w:rsidP="00402152">
            <w:pPr>
              <w:cnfStyle w:val="000000000000" w:firstRow="0" w:lastRow="0" w:firstColumn="0" w:lastColumn="0" w:oddVBand="0" w:evenVBand="0" w:oddHBand="0" w:evenHBand="0" w:firstRowFirstColumn="0" w:firstRowLastColumn="0" w:lastRowFirstColumn="0" w:lastRowLastColumn="0"/>
            </w:pPr>
            <w:r>
              <w:t>3.02</w:t>
            </w:r>
          </w:p>
        </w:tc>
        <w:tc>
          <w:tcPr>
            <w:tcW w:w="1529" w:type="dxa"/>
          </w:tcPr>
          <w:p w14:paraId="5980E598" w14:textId="69353A2D" w:rsidR="00402152" w:rsidRDefault="00402152" w:rsidP="00402152">
            <w:pPr>
              <w:cnfStyle w:val="000000000000" w:firstRow="0" w:lastRow="0" w:firstColumn="0" w:lastColumn="0" w:oddVBand="0" w:evenVBand="0" w:oddHBand="0" w:evenHBand="0" w:firstRowFirstColumn="0" w:firstRowLastColumn="0" w:lastRowFirstColumn="0" w:lastRowLastColumn="0"/>
            </w:pPr>
            <w:r>
              <w:t>0.003</w:t>
            </w:r>
          </w:p>
        </w:tc>
        <w:tc>
          <w:tcPr>
            <w:tcW w:w="1534" w:type="dxa"/>
          </w:tcPr>
          <w:p w14:paraId="40F4D834" w14:textId="54788C75" w:rsidR="00402152" w:rsidRDefault="00402152" w:rsidP="00402152">
            <w:pPr>
              <w:cnfStyle w:val="000000000000" w:firstRow="0" w:lastRow="0" w:firstColumn="0" w:lastColumn="0" w:oddVBand="0" w:evenVBand="0" w:oddHBand="0" w:evenHBand="0" w:firstRowFirstColumn="0" w:firstRowLastColumn="0" w:lastRowFirstColumn="0" w:lastRowLastColumn="0"/>
            </w:pPr>
            <w:r>
              <w:t>[0.050, 0.237]</w:t>
            </w:r>
          </w:p>
        </w:tc>
      </w:tr>
    </w:tbl>
    <w:p w14:paraId="684BC7FA" w14:textId="77777777" w:rsidR="004F037F" w:rsidRDefault="004F037F" w:rsidP="0051328D"/>
    <w:p w14:paraId="247A40B5" w14:textId="77777777" w:rsidR="0051328D" w:rsidRDefault="0051328D" w:rsidP="0051328D"/>
    <w:p w14:paraId="78CB625C" w14:textId="7696704A" w:rsidR="0051328D" w:rsidRDefault="004F037F" w:rsidP="0051328D">
      <w:r w:rsidRPr="004F037F">
        <w:t>After accounting for inactivity and poverty, obesity prevalence increased by an estimated 0.58 percentage points per year on average (95% CI: 0.54–0.62). This strong secular trend is the dominant driver of rising obesity and likely reflects long-term shifts in diet, built environment, and sedentary behavior not fully captured by the measured predictors. After adjustment for time, poverty, and state-level clustering, higher state inactivity prevalence was independently associated with higher obesity prevalence (β = 0.057, 95% CI: 0.017–0.097, p = 0.006): a 1 percentage point increase in the share of adults with no leisure-time physical activity is associated with a 0.057 percentage point increase in obesity prevalence. Because `</w:t>
      </w:r>
      <w:proofErr w:type="spellStart"/>
      <w:r w:rsidRPr="004F037F">
        <w:t>inactive_prev</w:t>
      </w:r>
      <w:proofErr w:type="spellEnd"/>
      <w:r w:rsidRPr="004F037F">
        <w:t>` is not within-state centered, this coefficient reflects a blend of between- and within-state variation and should not be interpreted as a purely longitudinal within-state effect. After adjustment for time and inactivity, a 1 percentage point higher state poverty rate was associated with 0.143 percentage points higher obesity prevalence (95% CI: 0.050–0.237, p = 0.003). Both predictors are independently significant, indicating that physical inactivity and socioeconomic disadvantage represent distinct pathways to higher state obesity burden.</w:t>
      </w:r>
    </w:p>
    <w:p w14:paraId="417BBA96" w14:textId="77777777" w:rsidR="004F037F" w:rsidRDefault="004F037F" w:rsidP="0051328D"/>
    <w:p w14:paraId="3DD57CF0" w14:textId="77777777" w:rsidR="004F037F" w:rsidRDefault="004F037F" w:rsidP="0051328D"/>
    <w:p w14:paraId="2D895E02" w14:textId="498FE1DE" w:rsidR="0051328D" w:rsidRDefault="0051328D" w:rsidP="0051328D">
      <w:r>
        <w:t>Random Effects</w:t>
      </w:r>
    </w:p>
    <w:p w14:paraId="09E82C80" w14:textId="77777777" w:rsidR="0051328D" w:rsidRDefault="0051328D" w:rsidP="0051328D"/>
    <w:p w14:paraId="2AFFDFB3" w14:textId="77777777" w:rsidR="0051328D" w:rsidRDefault="0051328D" w:rsidP="0051328D">
      <w:r>
        <w:t xml:space="preserve">Random effects </w:t>
      </w:r>
      <w:proofErr w:type="gramStart"/>
      <w:r>
        <w:t>estimates</w:t>
      </w:r>
      <w:proofErr w:type="gramEnd"/>
      <w:r>
        <w:t xml:space="preserve"> from the best-fitting model (M3):</w:t>
      </w:r>
    </w:p>
    <w:p w14:paraId="285A0338" w14:textId="77777777" w:rsidR="00FF6B12" w:rsidRDefault="00FF6B12" w:rsidP="0051328D"/>
    <w:tbl>
      <w:tblPr>
        <w:tblStyle w:val="GridTable3"/>
        <w:tblW w:w="0" w:type="auto"/>
        <w:tblLook w:val="04A0" w:firstRow="1" w:lastRow="0" w:firstColumn="1" w:lastColumn="0" w:noHBand="0" w:noVBand="1"/>
      </w:tblPr>
      <w:tblGrid>
        <w:gridCol w:w="3116"/>
        <w:gridCol w:w="3117"/>
        <w:gridCol w:w="3117"/>
      </w:tblGrid>
      <w:tr w:rsidR="00D9084E" w14:paraId="1EFCC016" w14:textId="77777777" w:rsidTr="00D908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6" w:type="dxa"/>
          </w:tcPr>
          <w:p w14:paraId="35E2E3EC" w14:textId="774A407E" w:rsidR="00D9084E" w:rsidRDefault="00D9084E" w:rsidP="0051328D">
            <w:r>
              <w:t>Component</w:t>
            </w:r>
          </w:p>
        </w:tc>
        <w:tc>
          <w:tcPr>
            <w:tcW w:w="3117" w:type="dxa"/>
          </w:tcPr>
          <w:p w14:paraId="5C4EA5CE" w14:textId="6A23F7BA" w:rsidR="00D9084E" w:rsidRDefault="00D9084E" w:rsidP="0051328D">
            <w:pPr>
              <w:cnfStyle w:val="100000000000" w:firstRow="1" w:lastRow="0" w:firstColumn="0" w:lastColumn="0" w:oddVBand="0" w:evenVBand="0" w:oddHBand="0" w:evenHBand="0" w:firstRowFirstColumn="0" w:firstRowLastColumn="0" w:lastRowFirstColumn="0" w:lastRowLastColumn="0"/>
            </w:pPr>
            <w:r>
              <w:t>SD</w:t>
            </w:r>
          </w:p>
        </w:tc>
        <w:tc>
          <w:tcPr>
            <w:tcW w:w="3117" w:type="dxa"/>
          </w:tcPr>
          <w:p w14:paraId="503BBE34" w14:textId="59E2C1CC" w:rsidR="00D9084E" w:rsidRDefault="00D9084E" w:rsidP="0051328D">
            <w:pPr>
              <w:cnfStyle w:val="100000000000" w:firstRow="1" w:lastRow="0" w:firstColumn="0" w:lastColumn="0" w:oddVBand="0" w:evenVBand="0" w:oddHBand="0" w:evenHBand="0" w:firstRowFirstColumn="0" w:firstRowLastColumn="0" w:lastRowFirstColumn="0" w:lastRowLastColumn="0"/>
            </w:pPr>
            <w:r>
              <w:t>Variance</w:t>
            </w:r>
          </w:p>
        </w:tc>
      </w:tr>
      <w:tr w:rsidR="00D9084E" w14:paraId="333CB288" w14:textId="77777777" w:rsidTr="00D90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161D4BF" w14:textId="28D51D13" w:rsidR="00D9084E" w:rsidRDefault="00D9084E" w:rsidP="0051328D">
            <w:r>
              <w:t>Between state intercept</w:t>
            </w:r>
          </w:p>
        </w:tc>
        <w:tc>
          <w:tcPr>
            <w:tcW w:w="3117" w:type="dxa"/>
          </w:tcPr>
          <w:p w14:paraId="012B8B8B" w14:textId="1AB9A943" w:rsidR="00D9084E" w:rsidRDefault="00D9084E" w:rsidP="0051328D">
            <w:pPr>
              <w:cnfStyle w:val="000000100000" w:firstRow="0" w:lastRow="0" w:firstColumn="0" w:lastColumn="0" w:oddVBand="0" w:evenVBand="0" w:oddHBand="1" w:evenHBand="0" w:firstRowFirstColumn="0" w:firstRowLastColumn="0" w:lastRowFirstColumn="0" w:lastRowLastColumn="0"/>
            </w:pPr>
            <w:r>
              <w:t>2.82</w:t>
            </w:r>
          </w:p>
        </w:tc>
        <w:tc>
          <w:tcPr>
            <w:tcW w:w="3117" w:type="dxa"/>
          </w:tcPr>
          <w:p w14:paraId="7E94F30A" w14:textId="01A770FD" w:rsidR="00D9084E" w:rsidRDefault="00D9084E" w:rsidP="0051328D">
            <w:pPr>
              <w:cnfStyle w:val="000000100000" w:firstRow="0" w:lastRow="0" w:firstColumn="0" w:lastColumn="0" w:oddVBand="0" w:evenVBand="0" w:oddHBand="1" w:evenHBand="0" w:firstRowFirstColumn="0" w:firstRowLastColumn="0" w:lastRowFirstColumn="0" w:lastRowLastColumn="0"/>
            </w:pPr>
            <w:r>
              <w:t>7.95</w:t>
            </w:r>
          </w:p>
        </w:tc>
      </w:tr>
      <w:tr w:rsidR="00D9084E" w14:paraId="3656FFA3" w14:textId="77777777" w:rsidTr="00D9084E">
        <w:tc>
          <w:tcPr>
            <w:cnfStyle w:val="001000000000" w:firstRow="0" w:lastRow="0" w:firstColumn="1" w:lastColumn="0" w:oddVBand="0" w:evenVBand="0" w:oddHBand="0" w:evenHBand="0" w:firstRowFirstColumn="0" w:firstRowLastColumn="0" w:lastRowFirstColumn="0" w:lastRowLastColumn="0"/>
            <w:tcW w:w="3116" w:type="dxa"/>
          </w:tcPr>
          <w:p w14:paraId="3A99E000" w14:textId="0C94688A" w:rsidR="00D9084E" w:rsidRDefault="00D9084E" w:rsidP="0051328D">
            <w:r>
              <w:t>Between state slope</w:t>
            </w:r>
          </w:p>
        </w:tc>
        <w:tc>
          <w:tcPr>
            <w:tcW w:w="3117" w:type="dxa"/>
          </w:tcPr>
          <w:p w14:paraId="3C333C9D" w14:textId="0FD1E9B3" w:rsidR="00D9084E" w:rsidRDefault="00D9084E" w:rsidP="0051328D">
            <w:pPr>
              <w:cnfStyle w:val="000000000000" w:firstRow="0" w:lastRow="0" w:firstColumn="0" w:lastColumn="0" w:oddVBand="0" w:evenVBand="0" w:oddHBand="0" w:evenHBand="0" w:firstRowFirstColumn="0" w:firstRowLastColumn="0" w:lastRowFirstColumn="0" w:lastRowLastColumn="0"/>
            </w:pPr>
            <w:r>
              <w:t>0.10</w:t>
            </w:r>
          </w:p>
        </w:tc>
        <w:tc>
          <w:tcPr>
            <w:tcW w:w="3117" w:type="dxa"/>
          </w:tcPr>
          <w:p w14:paraId="14A919FF" w14:textId="23E184CF" w:rsidR="00D9084E" w:rsidRDefault="00D9084E" w:rsidP="0051328D">
            <w:pPr>
              <w:cnfStyle w:val="000000000000" w:firstRow="0" w:lastRow="0" w:firstColumn="0" w:lastColumn="0" w:oddVBand="0" w:evenVBand="0" w:oddHBand="0" w:evenHBand="0" w:firstRowFirstColumn="0" w:firstRowLastColumn="0" w:lastRowFirstColumn="0" w:lastRowLastColumn="0"/>
            </w:pPr>
            <w:r>
              <w:t>0.010</w:t>
            </w:r>
          </w:p>
        </w:tc>
      </w:tr>
      <w:tr w:rsidR="00D9084E" w14:paraId="568523F5" w14:textId="77777777" w:rsidTr="00D90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299EC4D" w14:textId="0BDF5D2C" w:rsidR="00D9084E" w:rsidRDefault="00D9084E" w:rsidP="0051328D">
            <w:r>
              <w:t>Intercept slope correlation</w:t>
            </w:r>
          </w:p>
        </w:tc>
        <w:tc>
          <w:tcPr>
            <w:tcW w:w="3117" w:type="dxa"/>
          </w:tcPr>
          <w:p w14:paraId="260B28E1" w14:textId="1B4DE777" w:rsidR="00D9084E" w:rsidRDefault="00D9084E" w:rsidP="0051328D">
            <w:pPr>
              <w:cnfStyle w:val="000000100000" w:firstRow="0" w:lastRow="0" w:firstColumn="0" w:lastColumn="0" w:oddVBand="0" w:evenVBand="0" w:oddHBand="1" w:evenHBand="0" w:firstRowFirstColumn="0" w:firstRowLastColumn="0" w:lastRowFirstColumn="0" w:lastRowLastColumn="0"/>
            </w:pPr>
            <w:r>
              <w:t>0.057</w:t>
            </w:r>
          </w:p>
        </w:tc>
        <w:tc>
          <w:tcPr>
            <w:tcW w:w="3117" w:type="dxa"/>
          </w:tcPr>
          <w:p w14:paraId="152C1097" w14:textId="43EFB0C8" w:rsidR="00D9084E" w:rsidRDefault="00D9084E" w:rsidP="0051328D">
            <w:pPr>
              <w:cnfStyle w:val="000000100000" w:firstRow="0" w:lastRow="0" w:firstColumn="0" w:lastColumn="0" w:oddVBand="0" w:evenVBand="0" w:oddHBand="1" w:evenHBand="0" w:firstRowFirstColumn="0" w:firstRowLastColumn="0" w:lastRowFirstColumn="0" w:lastRowLastColumn="0"/>
            </w:pPr>
            <w:r>
              <w:t>-</w:t>
            </w:r>
          </w:p>
        </w:tc>
      </w:tr>
      <w:tr w:rsidR="00D9084E" w14:paraId="60A0F63F" w14:textId="77777777" w:rsidTr="00D9084E">
        <w:tc>
          <w:tcPr>
            <w:cnfStyle w:val="001000000000" w:firstRow="0" w:lastRow="0" w:firstColumn="1" w:lastColumn="0" w:oddVBand="0" w:evenVBand="0" w:oddHBand="0" w:evenHBand="0" w:firstRowFirstColumn="0" w:firstRowLastColumn="0" w:lastRowFirstColumn="0" w:lastRowLastColumn="0"/>
            <w:tcW w:w="3116" w:type="dxa"/>
          </w:tcPr>
          <w:p w14:paraId="4CC14332" w14:textId="0BE046B3" w:rsidR="00D9084E" w:rsidRDefault="00D9084E" w:rsidP="0051328D">
            <w:r>
              <w:t xml:space="preserve">Residual within state </w:t>
            </w:r>
          </w:p>
        </w:tc>
        <w:tc>
          <w:tcPr>
            <w:tcW w:w="3117" w:type="dxa"/>
          </w:tcPr>
          <w:p w14:paraId="2D3BC329" w14:textId="273F981E" w:rsidR="00D9084E" w:rsidRDefault="00D9084E" w:rsidP="0051328D">
            <w:pPr>
              <w:cnfStyle w:val="000000000000" w:firstRow="0" w:lastRow="0" w:firstColumn="0" w:lastColumn="0" w:oddVBand="0" w:evenVBand="0" w:oddHBand="0" w:evenHBand="0" w:firstRowFirstColumn="0" w:firstRowLastColumn="0" w:lastRowFirstColumn="0" w:lastRowLastColumn="0"/>
            </w:pPr>
            <w:r>
              <w:t>1.00</w:t>
            </w:r>
          </w:p>
        </w:tc>
        <w:tc>
          <w:tcPr>
            <w:tcW w:w="3117" w:type="dxa"/>
          </w:tcPr>
          <w:p w14:paraId="68BAC83F" w14:textId="5B2FAD7C" w:rsidR="00D9084E" w:rsidRDefault="00D9084E" w:rsidP="0051328D">
            <w:pPr>
              <w:cnfStyle w:val="000000000000" w:firstRow="0" w:lastRow="0" w:firstColumn="0" w:lastColumn="0" w:oddVBand="0" w:evenVBand="0" w:oddHBand="0" w:evenHBand="0" w:firstRowFirstColumn="0" w:firstRowLastColumn="0" w:lastRowFirstColumn="0" w:lastRowLastColumn="0"/>
            </w:pPr>
            <w:r>
              <w:t>1.00</w:t>
            </w:r>
          </w:p>
        </w:tc>
      </w:tr>
    </w:tbl>
    <w:p w14:paraId="760B7E76" w14:textId="77777777" w:rsidR="00FF6B12" w:rsidRDefault="00FF6B12" w:rsidP="0051328D"/>
    <w:p w14:paraId="6CCC3DC3" w14:textId="77777777" w:rsidR="0051328D" w:rsidRDefault="0051328D" w:rsidP="0051328D"/>
    <w:p w14:paraId="726A40C5" w14:textId="302C8E9F" w:rsidR="0051328D" w:rsidRDefault="0051328D" w:rsidP="0051328D">
      <w:r>
        <w:t>The between-state SD in intercepts of 2.82 reflects persistent differences in baseline obesity levels across states. The between-state SD in time slopes of 0.10 confirms that states differ meaningfully in how fast obesity is rising. The estimated correlation between state-level intercepts and slopes was 0.57, indicating that states with higher baseline obesity tend to experience faster subsequent increases the gap between high- and low-obesity states is widening over time. The residual within-state SD was 1.00. Residual diagnostics including a plot of residuals versus fitted values and a normal Q-Q plot showed approximate normality and no systematic patterns, supporting the adequacy of model assumptions.</w:t>
      </w:r>
    </w:p>
    <w:p w14:paraId="7143CB29" w14:textId="77777777" w:rsidR="0051328D" w:rsidRDefault="0051328D" w:rsidP="0051328D"/>
    <w:p w14:paraId="37D8EDA0" w14:textId="77777777" w:rsidR="0051328D" w:rsidRDefault="0051328D" w:rsidP="0051328D"/>
    <w:p w14:paraId="1820D8D0" w14:textId="2FD8D3FF" w:rsidR="0051328D" w:rsidRPr="001430F4" w:rsidRDefault="0051328D" w:rsidP="0051328D">
      <w:pPr>
        <w:rPr>
          <w:sz w:val="32"/>
          <w:szCs w:val="28"/>
        </w:rPr>
      </w:pPr>
      <w:r w:rsidRPr="001430F4">
        <w:rPr>
          <w:sz w:val="32"/>
          <w:szCs w:val="28"/>
        </w:rPr>
        <w:t>Discussion</w:t>
      </w:r>
    </w:p>
    <w:p w14:paraId="3F2A5431" w14:textId="77777777" w:rsidR="0051328D" w:rsidRDefault="0051328D" w:rsidP="0051328D"/>
    <w:p w14:paraId="55ECB138" w14:textId="77777777" w:rsidR="0051328D" w:rsidRDefault="0051328D" w:rsidP="0051328D">
      <w:r>
        <w:t>This study examined 14 years of state-level BRFSS data to characterize the longitudinal relationship between physical inactivity and obesity across U.S. states. Three main findings emerge.</w:t>
      </w:r>
    </w:p>
    <w:p w14:paraId="74578DE1" w14:textId="77777777" w:rsidR="0051328D" w:rsidRDefault="0051328D" w:rsidP="0051328D"/>
    <w:p w14:paraId="5DEAD717" w14:textId="43106D9C" w:rsidR="0051328D" w:rsidRDefault="0051328D" w:rsidP="0051328D">
      <w:r>
        <w:t>First, the dominant feature of obesity trends is a strong, near-universal secular increase. Obesity prevalence rose by approximately half a percentage point per year on average, and the random slope model revealed that this rate varied meaningfully across states some states are gaining faster than others. This heterogeneity is important: it suggests that aggregate national trends obscure diverging state trajectories and that state-specific factors warrant investigation.</w:t>
      </w:r>
    </w:p>
    <w:p w14:paraId="154A6BD8" w14:textId="77777777" w:rsidR="0051328D" w:rsidRDefault="0051328D" w:rsidP="0051328D"/>
    <w:p w14:paraId="6317F2D1" w14:textId="1069B9FA" w:rsidR="0051328D" w:rsidRDefault="0051328D" w:rsidP="0051328D">
      <w:r>
        <w:t>Second, the large ICC (0.67) confirms that stable between-state characteristics likely reflecting differences in socioeconomic conditions, built environment, food access, and demographics account for the majority of variance in obesity. Longitudinal models that ignore this clustering would produce misleading inference.</w:t>
      </w:r>
    </w:p>
    <w:p w14:paraId="28CB225B" w14:textId="77777777" w:rsidR="0051328D" w:rsidRDefault="0051328D" w:rsidP="0051328D"/>
    <w:p w14:paraId="13F1BC27" w14:textId="6849BF94" w:rsidR="0051328D" w:rsidRDefault="0051328D" w:rsidP="0051328D">
      <w:r>
        <w:t>Third, after controlling for time trends and state poverty rates, physical inactivity remains a statistically significant, independent predictor of state obesity prevalence (β = 0.057, p = 0.006). Poverty is also independently associated with obesity (β = 0.143, p = 0.003), consistent with the role of socioeconomic disadvantage in shaping access to healthy food, safe exercise environments, and preventive healthcare. The two predictors are not redundant each captures a distinct pathway to elevated state obesity burden, and both remain significant after mutual adjustment.</w:t>
      </w:r>
    </w:p>
    <w:p w14:paraId="3BCBD565" w14:textId="77777777" w:rsidR="0051328D" w:rsidRDefault="0051328D" w:rsidP="0051328D"/>
    <w:p w14:paraId="15C66A7F" w14:textId="2C96D92C" w:rsidR="0051328D" w:rsidRDefault="0051328D" w:rsidP="0051328D">
      <w:r>
        <w:t>Limitations</w:t>
      </w:r>
    </w:p>
    <w:p w14:paraId="77F045B4" w14:textId="77777777" w:rsidR="0051328D" w:rsidRDefault="0051328D" w:rsidP="0051328D"/>
    <w:p w14:paraId="57AEF3BD" w14:textId="21D81592" w:rsidR="0051328D" w:rsidRDefault="0051328D" w:rsidP="0051328D">
      <w:r>
        <w:t>Several limitations should be noted. First, this is an ecological analysis: associations between state-level aggregates do not necessarily reflect individual-level relationships, and ecological fallacy remains a concern. Second, both BRFSS indicators are self-reported, introducing potential measurement error and social desirability bias. Third, the analysis uses crude prevalence rather than age-adjusted estimates, so differences in state age distributions may confound comparisons. Fourth, while state poverty rates are included, other potential confounders such as racial/ethnic composition, urbanicity, and food environment remain unmeasured.</w:t>
      </w:r>
    </w:p>
    <w:p w14:paraId="6DC98255" w14:textId="77777777" w:rsidR="0051328D" w:rsidRDefault="0051328D" w:rsidP="0051328D"/>
    <w:p w14:paraId="3A3BA2BA" w14:textId="77777777" w:rsidR="0051328D" w:rsidRDefault="0051328D" w:rsidP="0051328D"/>
    <w:p w14:paraId="1CDE8540" w14:textId="57590C7B" w:rsidR="0051328D" w:rsidRPr="001430F4" w:rsidRDefault="0051328D" w:rsidP="0051328D">
      <w:pPr>
        <w:rPr>
          <w:sz w:val="32"/>
          <w:szCs w:val="28"/>
        </w:rPr>
      </w:pPr>
      <w:r w:rsidRPr="001430F4">
        <w:rPr>
          <w:sz w:val="32"/>
          <w:szCs w:val="28"/>
        </w:rPr>
        <w:t>Conclusion</w:t>
      </w:r>
    </w:p>
    <w:p w14:paraId="1FAAAD43" w14:textId="77777777" w:rsidR="0051328D" w:rsidRDefault="0051328D" w:rsidP="0051328D"/>
    <w:p w14:paraId="71C5A1FA" w14:textId="77777777" w:rsidR="0051328D" w:rsidRDefault="0051328D" w:rsidP="0051328D">
      <w:r>
        <w:t>Using longitudinal mixed-effects models on 14 years of CDC BRFSS and Census ACS data, this study documents a consistent and substantial rise in adult obesity prevalence across U.S. states from 2011 to 2024. After controlling for time trends and state poverty rates, physical inactivity remains a significant independent predictor of obesity, and poverty itself contributes an additional, distinct association. The large between-state ICC underscores the importance of accounting for clustering in longitudinal public health analyses. Future work should incorporate additional state-level covariates such as food environment and urbanicity, apply within-state centering to isolate the longitudinal within-state effect of inactivity, and explore subgroup heterogeneity to better understand the drivers of diverging obesity trajectories across states.</w:t>
      </w:r>
    </w:p>
    <w:p w14:paraId="45E3EE54" w14:textId="7DD7BDF2" w:rsidR="001430F4" w:rsidRDefault="001430F4">
      <w:r>
        <w:br w:type="page"/>
      </w:r>
    </w:p>
    <w:p w14:paraId="26D64A33" w14:textId="659C0788" w:rsidR="0051328D" w:rsidRPr="001430F4" w:rsidRDefault="0051328D" w:rsidP="0051328D">
      <w:pPr>
        <w:rPr>
          <w:sz w:val="32"/>
          <w:szCs w:val="28"/>
        </w:rPr>
      </w:pPr>
      <w:r w:rsidRPr="001430F4">
        <w:rPr>
          <w:sz w:val="32"/>
          <w:szCs w:val="28"/>
        </w:rPr>
        <w:lastRenderedPageBreak/>
        <w:t>References</w:t>
      </w:r>
    </w:p>
    <w:p w14:paraId="05E951D6" w14:textId="77777777" w:rsidR="0051328D" w:rsidRDefault="0051328D" w:rsidP="0051328D"/>
    <w:p w14:paraId="62F520E8" w14:textId="62E7F41C" w:rsidR="0051328D" w:rsidRDefault="0051328D" w:rsidP="0051328D">
      <w:r>
        <w:t xml:space="preserve">Centers for Disease Control and Prevention. Nutrition, Physical Activity, and Obesity </w:t>
      </w:r>
      <w:r w:rsidR="00AA622C">
        <w:t>–</w:t>
      </w:r>
      <w:r>
        <w:t xml:space="preserve"> Behavioral Risk Factor Surveillance System. Available at: https://data.cdc.gov. Accessed April 2026.</w:t>
      </w:r>
    </w:p>
    <w:p w14:paraId="70FC5DE3" w14:textId="77777777" w:rsidR="0051328D" w:rsidRDefault="0051328D" w:rsidP="0051328D"/>
    <w:p w14:paraId="1CAAC61A" w14:textId="19EA0A48" w:rsidR="0051328D" w:rsidRDefault="0051328D" w:rsidP="0051328D">
      <w:r>
        <w:t xml:space="preserve">Bates D, </w:t>
      </w:r>
      <w:proofErr w:type="spellStart"/>
      <w:r>
        <w:t>Mächler</w:t>
      </w:r>
      <w:proofErr w:type="spellEnd"/>
      <w:r>
        <w:t xml:space="preserve"> M, Bolker B, Walker S. Fitting Linear Mixed-Effects Models Using lme4. Journal of Statistical Software. 2015;67(1):1–48.</w:t>
      </w:r>
    </w:p>
    <w:p w14:paraId="5E7E97DA" w14:textId="77777777" w:rsidR="0051328D" w:rsidRDefault="0051328D" w:rsidP="0051328D"/>
    <w:p w14:paraId="3994802E" w14:textId="08790EDA" w:rsidR="0051328D" w:rsidRDefault="0051328D" w:rsidP="0051328D">
      <w:r>
        <w:t xml:space="preserve">Kuznetsova A, Brockhoff PB, Christensen RHB. </w:t>
      </w:r>
      <w:proofErr w:type="spellStart"/>
      <w:r>
        <w:t>lmerTest</w:t>
      </w:r>
      <w:proofErr w:type="spellEnd"/>
      <w:r>
        <w:t xml:space="preserve"> Package: Tests in Linear Mixed Effects Models. Journal of Statistical Software. 2017;82(13):1–26.</w:t>
      </w:r>
    </w:p>
    <w:p w14:paraId="11063377" w14:textId="77777777" w:rsidR="0051328D" w:rsidRDefault="0051328D" w:rsidP="0051328D"/>
    <w:p w14:paraId="35F10C09" w14:textId="77777777" w:rsidR="0051328D" w:rsidRDefault="0051328D" w:rsidP="0051328D">
      <w:r>
        <w:t xml:space="preserve">Walker K. </w:t>
      </w:r>
      <w:proofErr w:type="spellStart"/>
      <w:r>
        <w:t>tidycensus</w:t>
      </w:r>
      <w:proofErr w:type="spellEnd"/>
      <w:r>
        <w:t>: Load US Census Boundary and Attribute Data as '</w:t>
      </w:r>
      <w:proofErr w:type="spellStart"/>
      <w:r>
        <w:t>tidyverse</w:t>
      </w:r>
      <w:proofErr w:type="spellEnd"/>
      <w:r>
        <w:t>' and 'sf'-Ready Data Frames. R package version 1.6. 2024. Available at: https://walker-data.com/tidycensus/</w:t>
      </w:r>
    </w:p>
    <w:p w14:paraId="7B678AC2" w14:textId="77777777" w:rsidR="0051328D" w:rsidRDefault="0051328D" w:rsidP="0051328D"/>
    <w:p w14:paraId="616CAC15" w14:textId="4E433E58" w:rsidR="0051328D" w:rsidRDefault="0051328D" w:rsidP="0051328D">
      <w:r>
        <w:t>United States Census Bureau. American Community Survey 1-Year Estimates, Table B17001: Poverty Status in the Past 12 Months. Available at: https://data.census.gov. Accessed April 2026.</w:t>
      </w:r>
    </w:p>
    <w:sectPr w:rsidR="00513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8D"/>
    <w:rsid w:val="001430F4"/>
    <w:rsid w:val="00402152"/>
    <w:rsid w:val="004F037F"/>
    <w:rsid w:val="0051328D"/>
    <w:rsid w:val="005157AA"/>
    <w:rsid w:val="00582724"/>
    <w:rsid w:val="00652B67"/>
    <w:rsid w:val="00872463"/>
    <w:rsid w:val="00886667"/>
    <w:rsid w:val="0090744B"/>
    <w:rsid w:val="009B040F"/>
    <w:rsid w:val="00A87AEF"/>
    <w:rsid w:val="00AA622C"/>
    <w:rsid w:val="00CA6138"/>
    <w:rsid w:val="00D9084E"/>
    <w:rsid w:val="00E97F44"/>
    <w:rsid w:val="00FF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BC7B17"/>
  <w15:chartTrackingRefBased/>
  <w15:docId w15:val="{3A1923C2-EDB0-704D-AB04-0622B2BA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2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32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328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328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328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328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328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328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328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2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32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328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328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1328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132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32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32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32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32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2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2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32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328D"/>
    <w:rPr>
      <w:i/>
      <w:iCs/>
      <w:color w:val="404040" w:themeColor="text1" w:themeTint="BF"/>
    </w:rPr>
  </w:style>
  <w:style w:type="paragraph" w:styleId="ListParagraph">
    <w:name w:val="List Paragraph"/>
    <w:basedOn w:val="Normal"/>
    <w:uiPriority w:val="34"/>
    <w:qFormat/>
    <w:rsid w:val="0051328D"/>
    <w:pPr>
      <w:ind w:left="720"/>
      <w:contextualSpacing/>
    </w:pPr>
  </w:style>
  <w:style w:type="character" w:styleId="IntenseEmphasis">
    <w:name w:val="Intense Emphasis"/>
    <w:basedOn w:val="DefaultParagraphFont"/>
    <w:uiPriority w:val="21"/>
    <w:qFormat/>
    <w:rsid w:val="0051328D"/>
    <w:rPr>
      <w:i/>
      <w:iCs/>
      <w:color w:val="2F5496" w:themeColor="accent1" w:themeShade="BF"/>
    </w:rPr>
  </w:style>
  <w:style w:type="paragraph" w:styleId="IntenseQuote">
    <w:name w:val="Intense Quote"/>
    <w:basedOn w:val="Normal"/>
    <w:next w:val="Normal"/>
    <w:link w:val="IntenseQuoteChar"/>
    <w:uiPriority w:val="30"/>
    <w:qFormat/>
    <w:rsid w:val="00513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28D"/>
    <w:rPr>
      <w:i/>
      <w:iCs/>
      <w:color w:val="2F5496" w:themeColor="accent1" w:themeShade="BF"/>
    </w:rPr>
  </w:style>
  <w:style w:type="character" w:styleId="IntenseReference">
    <w:name w:val="Intense Reference"/>
    <w:basedOn w:val="DefaultParagraphFont"/>
    <w:uiPriority w:val="32"/>
    <w:qFormat/>
    <w:rsid w:val="0051328D"/>
    <w:rPr>
      <w:b/>
      <w:bCs/>
      <w:smallCaps/>
      <w:color w:val="2F5496" w:themeColor="accent1" w:themeShade="BF"/>
      <w:spacing w:val="5"/>
    </w:rPr>
  </w:style>
  <w:style w:type="table" w:styleId="TableGrid">
    <w:name w:val="Table Grid"/>
    <w:basedOn w:val="TableNormal"/>
    <w:uiPriority w:val="39"/>
    <w:rsid w:val="004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613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A613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A613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A613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A61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A613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A613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A6138"/>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A6138"/>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A613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2">
    <w:name w:val="Grid Table 2"/>
    <w:basedOn w:val="TableNormal"/>
    <w:uiPriority w:val="47"/>
    <w:rsid w:val="00CA613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CA6138"/>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
    <w:name w:val="Grid Table 3"/>
    <w:basedOn w:val="TableNormal"/>
    <w:uiPriority w:val="48"/>
    <w:rsid w:val="00CA613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2118</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Sarvar Khamidov</dc:creator>
  <cp:keywords/>
  <dc:description/>
  <cp:lastModifiedBy>Sarvar Khamidov</cp:lastModifiedBy>
  <cp:revision>10</cp:revision>
  <dcterms:created xsi:type="dcterms:W3CDTF">2026-05-04T20:32:00Z</dcterms:created>
  <dcterms:modified xsi:type="dcterms:W3CDTF">2026-05-04T22:46:00Z</dcterms:modified>
</cp:coreProperties>
</file>